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tbl>
      <w:tblPr>
        <w:tblW w:w="144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5"/>
        <w:gridCol w:w="7953"/>
        <w:gridCol w:w="4722"/>
      </w:tblGrid>
      <w:tr w:rsidR="51C282FA" w:rsidTr="6D36DB3E" w14:paraId="5820A240" w14:textId="77777777">
        <w:trPr/>
        <w:tc>
          <w:tcPr>
            <w:tcW w:w="14400" w:type="dxa"/>
            <w:gridSpan w:val="3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0D0480" w:rsidR="00323D2B" w:rsidP="6D36DB3E" w:rsidRDefault="000D0480" w14:paraId="63942637" w14:textId="54A56157">
            <w:pPr>
              <w:spacing w:line="235" w:lineRule="atLeast"/>
              <w:rPr>
                <w:rFonts w:eastAsia="Times New Roman" w:cs="Calibri"/>
                <w:b w:val="1"/>
                <w:bCs w:val="1"/>
                <w:color w:val="000000" w:themeColor="text1" w:themeTint="FF" w:themeShade="FF"/>
                <w:sz w:val="40"/>
                <w:szCs w:val="40"/>
                <w:lang w:eastAsia="en-GB"/>
              </w:rPr>
            </w:pPr>
            <w:r w:rsidRPr="6D36DB3E" w:rsidR="3B3434F1">
              <w:rPr>
                <w:rFonts w:eastAsia="Times New Roman" w:cs="Calibri"/>
                <w:b w:val="1"/>
                <w:bCs w:val="1"/>
                <w:color w:val="000000" w:themeColor="text1" w:themeTint="FF" w:themeShade="FF"/>
                <w:sz w:val="40"/>
                <w:szCs w:val="40"/>
                <w:lang w:eastAsia="en-GB"/>
              </w:rPr>
              <w:t xml:space="preserve">RHC Glasgow guidance documents submission </w:t>
            </w:r>
            <w:r w:rsidRPr="6D36DB3E" w:rsidR="3F0C255E">
              <w:rPr>
                <w:rFonts w:eastAsia="Times New Roman" w:cs="Calibri"/>
                <w:b w:val="1"/>
                <w:bCs w:val="1"/>
                <w:color w:val="000000" w:themeColor="text1" w:themeTint="FF" w:themeShade="FF"/>
                <w:sz w:val="40"/>
                <w:szCs w:val="40"/>
                <w:lang w:eastAsia="en-GB"/>
              </w:rPr>
              <w:t>/</w:t>
            </w:r>
            <w:r w:rsidRPr="6D36DB3E" w:rsidR="3B3434F1">
              <w:rPr>
                <w:rFonts w:eastAsia="Times New Roman" w:cs="Calibri"/>
                <w:b w:val="1"/>
                <w:bCs w:val="1"/>
                <w:color w:val="000000" w:themeColor="text1" w:themeTint="FF" w:themeShade="FF"/>
                <w:sz w:val="40"/>
                <w:szCs w:val="40"/>
                <w:lang w:eastAsia="en-GB"/>
              </w:rPr>
              <w:t xml:space="preserve"> review template. </w:t>
            </w:r>
          </w:p>
        </w:tc>
      </w:tr>
      <w:tr w:rsidR="51C282FA" w:rsidTr="6D36DB3E" w14:paraId="1751B3BF" w14:textId="77777777">
        <w:trPr/>
        <w:tc>
          <w:tcPr>
            <w:tcW w:w="14400" w:type="dxa"/>
            <w:gridSpan w:val="3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6AADED08" w:rsidP="3106113A" w:rsidRDefault="6AADED08" w14:paraId="6D03CD92" w14:textId="59197A61">
            <w:pPr>
              <w:spacing w:line="235" w:lineRule="atLeast"/>
              <w:rPr>
                <w:rFonts w:eastAsia="Times New Roman" w:cs="Calibri"/>
                <w:b w:val="1"/>
                <w:bCs w:val="1"/>
                <w:color w:val="000000" w:themeColor="text1"/>
                <w:sz w:val="24"/>
                <w:szCs w:val="24"/>
                <w:lang w:eastAsia="en-GB"/>
              </w:rPr>
            </w:pPr>
            <w:r w:rsidRPr="3106113A" w:rsidR="7754BFDC">
              <w:rPr>
                <w:rFonts w:eastAsia="Times New Roman" w:cs="Calibri"/>
                <w:b w:val="1"/>
                <w:bCs w:val="1"/>
                <w:color w:val="000000" w:themeColor="text1" w:themeTint="FF" w:themeShade="FF"/>
                <w:sz w:val="24"/>
                <w:szCs w:val="24"/>
                <w:lang w:eastAsia="en-GB"/>
              </w:rPr>
              <w:t xml:space="preserve">please complete as fully as you can, the editorial team </w:t>
            </w:r>
            <w:r w:rsidRPr="3106113A" w:rsidR="2193E46F">
              <w:rPr>
                <w:rFonts w:eastAsia="Times New Roman" w:cs="Calibri"/>
                <w:b w:val="1"/>
                <w:bCs w:val="1"/>
                <w:color w:val="000000" w:themeColor="text1" w:themeTint="FF" w:themeShade="FF"/>
                <w:sz w:val="24"/>
                <w:szCs w:val="24"/>
                <w:lang w:eastAsia="en-GB"/>
              </w:rPr>
              <w:t>can</w:t>
            </w:r>
            <w:r w:rsidRPr="3106113A" w:rsidR="7754BFDC">
              <w:rPr>
                <w:rFonts w:eastAsia="Times New Roman" w:cs="Calibri"/>
                <w:b w:val="1"/>
                <w:bCs w:val="1"/>
                <w:color w:val="000000" w:themeColor="text1" w:themeTint="FF" w:themeShade="FF"/>
                <w:sz w:val="24"/>
                <w:szCs w:val="24"/>
                <w:lang w:eastAsia="en-GB"/>
              </w:rPr>
              <w:t xml:space="preserve"> help if you </w:t>
            </w:r>
            <w:r w:rsidRPr="3106113A" w:rsidR="7754BFDC">
              <w:rPr>
                <w:rFonts w:eastAsia="Times New Roman" w:cs="Calibri"/>
                <w:b w:val="1"/>
                <w:bCs w:val="1"/>
                <w:color w:val="000000" w:themeColor="text1" w:themeTint="FF" w:themeShade="FF"/>
                <w:sz w:val="24"/>
                <w:szCs w:val="24"/>
                <w:lang w:eastAsia="en-GB"/>
              </w:rPr>
              <w:t>require</w:t>
            </w:r>
            <w:r w:rsidRPr="3106113A" w:rsidR="7754BFDC">
              <w:rPr>
                <w:rFonts w:eastAsia="Times New Roman" w:cs="Calibri"/>
                <w:b w:val="1"/>
                <w:bCs w:val="1"/>
                <w:color w:val="000000" w:themeColor="text1" w:themeTint="FF" w:themeShade="FF"/>
                <w:sz w:val="24"/>
                <w:szCs w:val="24"/>
                <w:lang w:eastAsia="en-GB"/>
              </w:rPr>
              <w:t xml:space="preserve"> </w:t>
            </w:r>
            <w:r w:rsidRPr="3106113A" w:rsidR="7754BFDC">
              <w:rPr>
                <w:rFonts w:eastAsia="Times New Roman" w:cs="Calibri"/>
                <w:b w:val="1"/>
                <w:bCs w:val="1"/>
                <w:color w:val="000000" w:themeColor="text1" w:themeTint="FF" w:themeShade="FF"/>
                <w:sz w:val="24"/>
                <w:szCs w:val="24"/>
                <w:lang w:eastAsia="en-GB"/>
              </w:rPr>
              <w:t>assistance</w:t>
            </w:r>
            <w:r w:rsidRPr="3106113A" w:rsidR="7754BFDC">
              <w:rPr>
                <w:rFonts w:eastAsia="Times New Roman" w:cs="Calibri"/>
                <w:b w:val="1"/>
                <w:bCs w:val="1"/>
                <w:color w:val="000000" w:themeColor="text1" w:themeTint="FF" w:themeShade="FF"/>
                <w:sz w:val="24"/>
                <w:szCs w:val="24"/>
                <w:lang w:eastAsia="en-GB"/>
              </w:rPr>
              <w:t xml:space="preserve"> </w:t>
            </w:r>
            <w:r w:rsidRPr="3106113A" w:rsidR="6FCE5E1C">
              <w:rPr>
                <w:rFonts w:eastAsia="Times New Roman" w:cs="Calibri"/>
                <w:b w:val="1"/>
                <w:bCs w:val="1"/>
                <w:color w:val="000000" w:themeColor="text1" w:themeTint="FF" w:themeShade="FF"/>
                <w:sz w:val="24"/>
                <w:szCs w:val="24"/>
                <w:lang w:eastAsia="en-GB"/>
              </w:rPr>
              <w:t xml:space="preserve">  </w:t>
            </w:r>
            <w:hyperlink r:id="Rc6fc7265bded4734">
              <w:r w:rsidRPr="3106113A" w:rsidR="7754BFDC">
                <w:rPr>
                  <w:rStyle w:val="Hyperlink"/>
                  <w:rFonts w:eastAsia="Times New Roman" w:cs="Calibri"/>
                  <w:b w:val="1"/>
                  <w:bCs w:val="1"/>
                  <w:sz w:val="24"/>
                  <w:szCs w:val="24"/>
                  <w:lang w:eastAsia="en-GB"/>
                </w:rPr>
                <w:t> </w:t>
              </w:r>
              <w:r w:rsidRPr="3106113A" w:rsidR="79F3604D">
                <w:rPr>
                  <w:rStyle w:val="Hyperlink"/>
                  <w:rFonts w:eastAsia="Times New Roman" w:cs="Calibri"/>
                  <w:b w:val="1"/>
                  <w:bCs w:val="1"/>
                  <w:sz w:val="24"/>
                  <w:szCs w:val="24"/>
                  <w:lang w:eastAsia="en-GB"/>
                </w:rPr>
                <w:t>paediatri</w:t>
              </w:r>
              <w:r w:rsidRPr="3106113A" w:rsidR="1D49C253">
                <w:rPr>
                  <w:rStyle w:val="Hyperlink"/>
                  <w:rFonts w:eastAsia="Times New Roman" w:cs="Calibri"/>
                  <w:b w:val="1"/>
                  <w:bCs w:val="1"/>
                  <w:sz w:val="24"/>
                  <w:szCs w:val="24"/>
                  <w:lang w:eastAsia="en-GB"/>
                </w:rPr>
                <w:t>c.</w:t>
              </w:r>
              <w:r w:rsidRPr="3106113A" w:rsidR="79F3604D">
                <w:rPr>
                  <w:rStyle w:val="Hyperlink"/>
                  <w:rFonts w:eastAsia="Times New Roman" w:cs="Calibri"/>
                  <w:b w:val="1"/>
                  <w:bCs w:val="1"/>
                  <w:sz w:val="24"/>
                  <w:szCs w:val="24"/>
                  <w:lang w:eastAsia="en-GB"/>
                </w:rPr>
                <w:t>guidelines@ggc.scot.nhs.uk</w:t>
              </w:r>
            </w:hyperlink>
          </w:p>
          <w:p w:rsidR="6AADED08" w:rsidP="3106113A" w:rsidRDefault="6AADED08" w14:paraId="2175BF4F" w14:textId="4877AD60">
            <w:pPr>
              <w:spacing w:line="235" w:lineRule="atLeast"/>
              <w:rPr>
                <w:rFonts w:eastAsia="Times New Roman" w:cs="Calibri"/>
                <w:b w:val="1"/>
                <w:bCs w:val="1"/>
                <w:color w:val="000000" w:themeColor="text1" w:themeTint="FF" w:themeShade="FF"/>
                <w:sz w:val="24"/>
                <w:szCs w:val="24"/>
                <w:lang w:eastAsia="en-GB"/>
              </w:rPr>
            </w:pPr>
            <w:r w:rsidRPr="6D36DB3E" w:rsidR="7754BFDC">
              <w:rPr>
                <w:rFonts w:eastAsia="Times New Roman" w:cs="Calibri"/>
                <w:b w:val="1"/>
                <w:bCs w:val="1"/>
                <w:color w:val="000000" w:themeColor="text1" w:themeTint="FF" w:themeShade="FF"/>
                <w:sz w:val="24"/>
                <w:szCs w:val="24"/>
                <w:lang w:eastAsia="en-GB"/>
              </w:rPr>
              <w:t xml:space="preserve">If your document is more of a pathway or process than primarily clinical not all fields will apply – you </w:t>
            </w:r>
            <w:r w:rsidRPr="6D36DB3E" w:rsidR="7754BFDC">
              <w:rPr>
                <w:rFonts w:eastAsia="Times New Roman" w:cs="Calibri"/>
                <w:b w:val="1"/>
                <w:bCs w:val="1"/>
                <w:color w:val="000000" w:themeColor="text1" w:themeTint="FF" w:themeShade="FF"/>
                <w:sz w:val="24"/>
                <w:szCs w:val="24"/>
                <w:lang w:eastAsia="en-GB"/>
              </w:rPr>
              <w:t>may add</w:t>
            </w:r>
            <w:r w:rsidRPr="6D36DB3E" w:rsidR="7754BFDC">
              <w:rPr>
                <w:rFonts w:eastAsia="Times New Roman" w:cs="Calibri"/>
                <w:b w:val="1"/>
                <w:bCs w:val="1"/>
                <w:color w:val="000000" w:themeColor="text1" w:themeTint="FF" w:themeShade="FF"/>
                <w:sz w:val="24"/>
                <w:szCs w:val="24"/>
                <w:lang w:eastAsia="en-GB"/>
              </w:rPr>
              <w:t xml:space="preserve"> notes as appropriate</w:t>
            </w:r>
          </w:p>
        </w:tc>
      </w:tr>
      <w:tr w:rsidRPr="00715B69" w:rsidR="00715B69" w:rsidTr="6D36DB3E" w14:paraId="4282611A" w14:textId="77777777">
        <w:trPr/>
        <w:tc>
          <w:tcPr>
            <w:tcW w:w="172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  <w:hideMark/>
          </w:tcPr>
          <w:p w:rsidRPr="00715B69" w:rsidR="00715B69" w:rsidP="3106113A" w:rsidRDefault="65BC3D16" w14:paraId="29FCA6C3" w14:textId="77777777">
            <w:pPr>
              <w:spacing w:after="0" w:line="235" w:lineRule="atLeast"/>
              <w:jc w:val="left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3106113A" w:rsidR="23A009A4">
              <w:rPr>
                <w:rFonts w:eastAsia="Times New Roman" w:cs="Calibri"/>
                <w:b w:val="1"/>
                <w:bCs w:val="1"/>
                <w:color w:val="000000"/>
                <w:sz w:val="24"/>
                <w:szCs w:val="24"/>
                <w:bdr w:val="none" w:color="auto" w:sz="0" w:space="0" w:frame="1"/>
                <w:lang w:eastAsia="en-GB"/>
              </w:rPr>
              <w:t>Domain</w:t>
            </w:r>
            <w:r w:rsidRPr="3106113A" w:rsidR="23A009A4">
              <w:rPr>
                <w:rFonts w:eastAsia="Times New Roman" w:cs="Calibri"/>
                <w:color w:val="000000"/>
                <w:sz w:val="24"/>
                <w:szCs w:val="24"/>
                <w:bdr w:val="none" w:color="auto" w:sz="0" w:space="0" w:frame="1"/>
                <w:lang w:eastAsia="en-GB"/>
              </w:rPr>
              <w:t> </w:t>
            </w:r>
          </w:p>
        </w:tc>
        <w:tc>
          <w:tcPr>
            <w:tcW w:w="7953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715B69" w:rsidR="00715B69" w:rsidP="3106113A" w:rsidRDefault="65BC3D16" w14:paraId="4280BB70" w14:textId="77777777">
            <w:pPr>
              <w:spacing w:after="0" w:line="235" w:lineRule="atLeast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3106113A" w:rsidR="23A009A4">
              <w:rPr>
                <w:rFonts w:eastAsia="Times New Roman" w:cs="Calibri"/>
                <w:b w:val="1"/>
                <w:bCs w:val="1"/>
                <w:color w:val="000000"/>
                <w:sz w:val="24"/>
                <w:szCs w:val="24"/>
                <w:bdr w:val="none" w:color="auto" w:sz="0" w:space="0" w:frame="1"/>
                <w:lang w:eastAsia="en-GB"/>
              </w:rPr>
              <w:t>Reviewing groups responsibility will be to check the following  </w:t>
            </w:r>
            <w:hyperlink w:tgtFrame="_blank" w:history="1" r:id="Rf111ba232dcb4a4b">
              <w:r w:rsidRPr="3106113A" w:rsidR="23A009A4">
                <w:rPr>
                  <w:rFonts w:eastAsia="Times New Roman" w:cs="Calibri"/>
                  <w:color w:val="0000FF"/>
                  <w:sz w:val="24"/>
                  <w:szCs w:val="24"/>
                  <w:u w:val="single"/>
                  <w:bdr w:val="none" w:color="auto" w:sz="0" w:space="0" w:frame="1"/>
                  <w:lang w:eastAsia="en-GB"/>
                </w:rPr>
                <w:t>NHSGGC - Author Guidance (scot.nhs.uk)</w:t>
              </w:r>
            </w:hyperlink>
            <w:r w:rsidRPr="3106113A" w:rsidR="23A009A4">
              <w:rPr>
                <w:rFonts w:eastAsia="Times New Roman" w:cs="Calibri"/>
                <w:sz w:val="24"/>
                <w:szCs w:val="24"/>
                <w:bdr w:val="none" w:color="auto" w:sz="0" w:space="0" w:frame="1"/>
                <w:lang w:eastAsia="en-GB"/>
              </w:rPr>
              <w:t>  </w:t>
            </w:r>
            <w:r w:rsidRPr="3106113A" w:rsidR="23A009A4">
              <w:rPr>
                <w:rFonts w:eastAsia="Times New Roman" w:cs="Calibri"/>
                <w:sz w:val="24"/>
                <w:szCs w:val="24"/>
                <w:lang w:eastAsia="en-GB"/>
              </w:rPr>
              <w:t xml:space="preserve">has further details and advice if </w:t>
            </w:r>
            <w:r w:rsidRPr="3106113A" w:rsidR="23A009A4">
              <w:rPr>
                <w:rFonts w:eastAsia="Times New Roman" w:cs="Calibri"/>
                <w:sz w:val="24"/>
                <w:szCs w:val="24"/>
                <w:lang w:eastAsia="en-GB"/>
              </w:rPr>
              <w:t>required</w:t>
            </w:r>
            <w:r w:rsidRPr="3106113A" w:rsidR="23A009A4">
              <w:rPr>
                <w:rFonts w:eastAsia="Times New Roman" w:cs="Calibri"/>
                <w:b w:val="1"/>
                <w:bCs w:val="1"/>
                <w:color w:val="000000"/>
                <w:sz w:val="24"/>
                <w:szCs w:val="24"/>
                <w:bdr w:val="none" w:color="auto" w:sz="0" w:space="0" w:frame="1"/>
                <w:lang w:eastAsia="en-GB"/>
              </w:rPr>
              <w:t> </w:t>
            </w:r>
          </w:p>
        </w:tc>
        <w:tc>
          <w:tcPr>
            <w:tcW w:w="4722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715B69" w:rsidR="00715B69" w:rsidP="2263FC5E" w:rsidRDefault="65BC3D16" w14:paraId="342885ED" w14:textId="570AFC54">
            <w:pPr>
              <w:spacing w:after="0" w:line="235" w:lineRule="atLeast"/>
              <w:rPr>
                <w:rFonts w:eastAsia="Times New Roman" w:cs="Calibri"/>
                <w:color w:val="000000" w:themeColor="text1" w:themeTint="FF" w:themeShade="FF"/>
                <w:sz w:val="24"/>
                <w:szCs w:val="24"/>
                <w:lang w:eastAsia="en-GB"/>
              </w:rPr>
            </w:pPr>
            <w:r w:rsidRPr="3106113A" w:rsidR="23A009A4">
              <w:rPr>
                <w:rFonts w:eastAsia="Times New Roman" w:cs="Calibri"/>
                <w:b w:val="1"/>
                <w:bCs w:val="1"/>
                <w:color w:val="000000"/>
                <w:sz w:val="24"/>
                <w:szCs w:val="24"/>
                <w:bdr w:val="none" w:color="auto" w:sz="0" w:space="0" w:frame="1"/>
                <w:lang w:eastAsia="en-GB"/>
              </w:rPr>
              <w:t>Checklist; </w:t>
            </w:r>
            <w:r w:rsidRPr="3106113A" w:rsidR="23A009A4">
              <w:rPr>
                <w:rFonts w:eastAsia="Times New Roman" w:cs="Calibri"/>
                <w:color w:val="000000"/>
                <w:sz w:val="24"/>
                <w:szCs w:val="24"/>
                <w:bdr w:val="none" w:color="auto" w:sz="0" w:space="0" w:frame="1"/>
                <w:lang w:eastAsia="en-GB"/>
              </w:rPr>
              <w:t>please initial the box below / add notes</w:t>
            </w:r>
            <w:r w:rsidRPr="3106113A" w:rsidR="72B8B802">
              <w:rPr>
                <w:rFonts w:eastAsia="Times New Roman" w:cs="Calibri"/>
                <w:color w:val="000000"/>
                <w:sz w:val="24"/>
                <w:szCs w:val="24"/>
                <w:bdr w:val="none" w:color="auto" w:sz="0" w:space="0" w:frame="1"/>
                <w:lang w:eastAsia="en-GB"/>
              </w:rPr>
              <w:t>. For reviews, if the field is unchanged, just write “Done” &amp; initial</w:t>
            </w:r>
          </w:p>
        </w:tc>
      </w:tr>
      <w:tr w:rsidR="5B72D921" w:rsidTr="6D36DB3E" w14:paraId="2C118FE4">
        <w:trPr>
          <w:trHeight w:val="300"/>
        </w:trPr>
        <w:tc>
          <w:tcPr>
            <w:tcW w:w="1725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  <w:hideMark/>
          </w:tcPr>
          <w:p w:rsidR="459067CF" w:rsidP="5B72D921" w:rsidRDefault="459067CF" w14:paraId="41B99E28" w14:textId="2FE8BD24">
            <w:pPr>
              <w:pStyle w:val="Normal"/>
              <w:spacing w:line="235" w:lineRule="atLeast"/>
              <w:jc w:val="left"/>
              <w:rPr>
                <w:rFonts w:eastAsia="Times New Roman" w:cs="Calibri"/>
                <w:color w:val="000000" w:themeColor="text1" w:themeTint="FF" w:themeShade="FF"/>
                <w:sz w:val="24"/>
                <w:szCs w:val="24"/>
                <w:lang w:eastAsia="en-GB"/>
              </w:rPr>
            </w:pPr>
            <w:r w:rsidRPr="5B72D921" w:rsidR="459067CF">
              <w:rPr>
                <w:rFonts w:eastAsia="Times New Roman" w:cs="Calibri"/>
                <w:color w:val="000000" w:themeColor="text1" w:themeTint="FF" w:themeShade="FF"/>
                <w:sz w:val="24"/>
                <w:szCs w:val="24"/>
                <w:lang w:eastAsia="en-GB"/>
              </w:rPr>
              <w:t xml:space="preserve">Title of </w:t>
            </w:r>
            <w:r w:rsidRPr="5B72D921" w:rsidR="1EE7390C">
              <w:rPr>
                <w:rFonts w:eastAsia="Times New Roman" w:cs="Calibri"/>
                <w:color w:val="000000" w:themeColor="text1" w:themeTint="FF" w:themeShade="FF"/>
                <w:sz w:val="24"/>
                <w:szCs w:val="24"/>
                <w:lang w:eastAsia="en-GB"/>
              </w:rPr>
              <w:t>guidance</w:t>
            </w:r>
          </w:p>
        </w:tc>
        <w:tc>
          <w:tcPr>
            <w:tcW w:w="7953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5B72D921" w:rsidP="6E1A399B" w:rsidRDefault="5B72D921" w14:paraId="7DDC76C0" w14:textId="71E63DDA">
            <w:pPr>
              <w:pStyle w:val="Normal"/>
              <w:spacing w:line="235" w:lineRule="atLeast"/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</w:pPr>
          </w:p>
        </w:tc>
        <w:tc>
          <w:tcPr>
            <w:tcW w:w="4722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459067CF" w:rsidP="6E1A399B" w:rsidRDefault="459067CF" w14:paraId="0D5585A3" w14:textId="573C65E4">
            <w:pPr>
              <w:pStyle w:val="Normal"/>
              <w:spacing w:line="235" w:lineRule="atLeast"/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</w:pPr>
          </w:p>
        </w:tc>
      </w:tr>
      <w:tr w:rsidRPr="00715B69" w:rsidR="00715B69" w:rsidTr="6D36DB3E" w14:paraId="3B897DF3" w14:textId="77777777">
        <w:trPr/>
        <w:tc>
          <w:tcPr>
            <w:tcW w:w="1725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  <w:hideMark/>
          </w:tcPr>
          <w:p w:rsidRPr="00715B69" w:rsidR="00715B69" w:rsidP="3106113A" w:rsidRDefault="65BC3D16" w14:paraId="1C7949D9" w14:textId="77777777">
            <w:pPr>
              <w:spacing w:after="0" w:line="235" w:lineRule="atLeast"/>
              <w:jc w:val="left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3106113A" w:rsidR="23A009A4">
              <w:rPr>
                <w:rFonts w:eastAsia="Times New Roman" w:cs="Calibri"/>
                <w:color w:val="000000"/>
                <w:sz w:val="24"/>
                <w:szCs w:val="24"/>
                <w:bdr w:val="none" w:color="auto" w:sz="0" w:space="0" w:frame="1"/>
                <w:lang w:eastAsia="en-GB"/>
              </w:rPr>
              <w:t>Scope &amp; Purpose </w:t>
            </w:r>
          </w:p>
        </w:tc>
        <w:tc>
          <w:tcPr>
            <w:tcW w:w="7953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715B69" w:rsidR="00715B69" w:rsidP="3106113A" w:rsidRDefault="65BC3D16" w14:paraId="7D897D03" w14:textId="4158C805">
            <w:pPr>
              <w:spacing w:after="0" w:line="235" w:lineRule="atLeast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3106113A" w:rsidR="23A009A4">
              <w:rPr>
                <w:rFonts w:eastAsia="Times New Roman" w:cs="Calibri"/>
                <w:color w:val="000000"/>
                <w:sz w:val="24"/>
                <w:szCs w:val="24"/>
                <w:bdr w:val="none" w:color="auto" w:sz="0" w:space="0" w:frame="1"/>
                <w:lang w:eastAsia="en-GB"/>
              </w:rPr>
              <w:t xml:space="preserve">Confirm the need for this </w:t>
            </w:r>
            <w:r w:rsidRPr="3106113A" w:rsidR="23A009A4">
              <w:rPr>
                <w:rFonts w:eastAsia="Times New Roman" w:cs="Calibri"/>
                <w:color w:val="000000"/>
                <w:sz w:val="24"/>
                <w:szCs w:val="24"/>
                <w:bdr w:val="none" w:color="auto" w:sz="0" w:space="0" w:frame="1"/>
                <w:lang w:eastAsia="en-GB"/>
              </w:rPr>
              <w:t xml:space="preserve">particular guidance</w:t>
            </w:r>
            <w:r w:rsidRPr="3106113A" w:rsidR="23A009A4">
              <w:rPr>
                <w:rFonts w:eastAsia="Times New Roman" w:cs="Calibri"/>
                <w:color w:val="000000"/>
                <w:sz w:val="24"/>
                <w:szCs w:val="24"/>
                <w:bdr w:val="none" w:color="auto" w:sz="0" w:space="0" w:frame="1"/>
                <w:lang w:eastAsia="en-GB"/>
              </w:rPr>
              <w:t xml:space="preserve">. Guidance should have a clear </w:t>
            </w:r>
            <w:r w:rsidRPr="3106113A" w:rsidR="3D237085">
              <w:rPr>
                <w:rFonts w:eastAsia="Times New Roman" w:cs="Calibri"/>
                <w:color w:val="000000"/>
                <w:sz w:val="24"/>
                <w:szCs w:val="24"/>
                <w:bdr w:val="none" w:color="auto" w:sz="0" w:space="0" w:frame="1"/>
                <w:lang w:eastAsia="en-GB"/>
              </w:rPr>
              <w:t>title and</w:t>
            </w:r>
            <w:r w:rsidRPr="3106113A" w:rsidR="23A009A4">
              <w:rPr>
                <w:rFonts w:eastAsia="Times New Roman" w:cs="Calibri"/>
                <w:sz w:val="24"/>
                <w:szCs w:val="24"/>
                <w:bdr w:val="none" w:color="auto" w:sz="0" w:space="0" w:frame="1"/>
                <w:lang w:eastAsia="en-GB"/>
              </w:rPr>
              <w:t xml:space="preserve"> </w:t>
            </w:r>
            <w:r w:rsidRPr="3106113A" w:rsidR="23A009A4">
              <w:rPr>
                <w:rFonts w:eastAsia="Times New Roman" w:cs="Calibri"/>
                <w:sz w:val="24"/>
                <w:szCs w:val="24"/>
                <w:bdr w:val="none" w:color="auto" w:sz="0" w:space="0" w:frame="1"/>
                <w:lang w:eastAsia="en-GB"/>
              </w:rPr>
              <w:t xml:space="preserve">short  sections</w:t>
            </w:r>
            <w:r w:rsidRPr="3106113A" w:rsidR="23A009A4">
              <w:rPr>
                <w:rFonts w:eastAsia="Times New Roman" w:cs="Calibri"/>
                <w:sz w:val="24"/>
                <w:szCs w:val="24"/>
                <w:bdr w:val="none" w:color="auto" w:sz="0" w:space="0" w:frame="1"/>
                <w:lang w:eastAsia="en-GB"/>
              </w:rPr>
              <w:t xml:space="preserve">  on </w:t>
            </w:r>
            <w:r w:rsidRPr="3106113A" w:rsidR="23A009A4">
              <w:rPr>
                <w:rFonts w:eastAsia="Times New Roman" w:cs="Calibri"/>
                <w:sz w:val="24"/>
                <w:szCs w:val="24"/>
                <w:bdr w:val="none" w:color="auto" w:sz="0" w:space="0" w:frame="1"/>
                <w:lang w:eastAsia="en-GB"/>
              </w:rPr>
              <w:t xml:space="preserve">objectives</w:t>
            </w:r>
            <w:r w:rsidRPr="3106113A" w:rsidR="23A009A4">
              <w:rPr>
                <w:rFonts w:eastAsia="Times New Roman" w:cs="Calibri"/>
                <w:sz w:val="24"/>
                <w:szCs w:val="24"/>
                <w:bdr w:val="none" w:color="auto" w:sz="0" w:space="0" w:frame="1"/>
                <w:lang w:eastAsia="en-GB"/>
              </w:rPr>
              <w:t xml:space="preserve">, scope &amp; audience</w:t>
            </w:r>
          </w:p>
        </w:tc>
        <w:tc>
          <w:tcPr>
            <w:tcW w:w="4722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715B69" w:rsidR="00715B69" w:rsidP="753E113F" w:rsidRDefault="65BC3D16" w14:paraId="4F6584BE" w14:textId="2067FFAB">
            <w:pPr>
              <w:spacing w:after="0" w:line="235" w:lineRule="atLeast"/>
              <w:rPr>
                <w:rFonts w:eastAsia="Times New Roman" w:cs="Calibri"/>
                <w:b w:val="0"/>
                <w:bCs w:val="0"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Pr="00715B69" w:rsidR="00715B69" w:rsidTr="6D36DB3E" w14:paraId="10041F6F" w14:textId="77777777">
        <w:trPr/>
        <w:tc>
          <w:tcPr>
            <w:tcW w:w="1725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  <w:hideMark/>
          </w:tcPr>
          <w:p w:rsidRPr="00715B69" w:rsidR="00715B69" w:rsidP="3106113A" w:rsidRDefault="65BC3D16" w14:paraId="09AF38FC" w14:textId="77777777">
            <w:pPr>
              <w:spacing w:after="0" w:line="235" w:lineRule="atLeast"/>
              <w:jc w:val="left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3106113A" w:rsidR="23A009A4">
              <w:rPr>
                <w:rFonts w:eastAsia="Times New Roman" w:cs="Calibri"/>
                <w:color w:val="000000"/>
                <w:sz w:val="24"/>
                <w:szCs w:val="24"/>
                <w:bdr w:val="none" w:color="auto" w:sz="0" w:space="0" w:frame="1"/>
                <w:lang w:eastAsia="en-GB"/>
              </w:rPr>
              <w:t> </w:t>
            </w:r>
          </w:p>
        </w:tc>
        <w:tc>
          <w:tcPr>
            <w:tcW w:w="7953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715B69" w:rsidR="00715B69" w:rsidP="3106113A" w:rsidRDefault="65BC3D16" w14:paraId="6F16A978" w14:textId="77777777">
            <w:pPr>
              <w:spacing w:after="0" w:line="235" w:lineRule="atLeast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3106113A" w:rsidR="23A009A4">
              <w:rPr>
                <w:rFonts w:eastAsia="Times New Roman" w:cs="Calibri"/>
                <w:color w:val="000000"/>
                <w:sz w:val="24"/>
                <w:szCs w:val="24"/>
                <w:bdr w:val="none" w:color="auto" w:sz="0" w:space="0" w:frame="1"/>
                <w:lang w:eastAsia="en-GB"/>
              </w:rPr>
              <w:t>Guidance documents </w:t>
            </w:r>
            <w:r w:rsidRPr="3106113A" w:rsidR="23A009A4">
              <w:rPr>
                <w:rFonts w:eastAsia="Times New Roman" w:cs="Calibri"/>
                <w:b w:val="1"/>
                <w:bCs w:val="1"/>
                <w:color w:val="000000"/>
                <w:sz w:val="24"/>
                <w:szCs w:val="24"/>
                <w:bdr w:val="none" w:color="auto" w:sz="0" w:space="0" w:frame="1"/>
                <w:lang w:eastAsia="en-GB"/>
              </w:rPr>
              <w:t>must</w:t>
            </w:r>
            <w:r w:rsidRPr="3106113A" w:rsidR="23A009A4">
              <w:rPr>
                <w:rFonts w:eastAsia="Times New Roman" w:cs="Calibri"/>
                <w:color w:val="000000"/>
                <w:sz w:val="24"/>
                <w:szCs w:val="24"/>
                <w:bdr w:val="none" w:color="auto" w:sz="0" w:space="0" w:frame="1"/>
                <w:lang w:eastAsia="en-GB"/>
              </w:rPr>
              <w:t> have a corresponding author who should be a permanent staff member, their email will be published with the guideline. </w:t>
            </w:r>
          </w:p>
        </w:tc>
        <w:tc>
          <w:tcPr>
            <w:tcW w:w="4722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715B69" w:rsidR="00715B69" w:rsidP="49F998CA" w:rsidRDefault="65BC3D16" w14:paraId="01512BE8" w14:textId="3BF333EE">
            <w:pPr>
              <w:pStyle w:val="Normal"/>
              <w:spacing w:after="0" w:line="235" w:lineRule="atLeast"/>
              <w:rPr>
                <w:rFonts w:eastAsia="Times New Roman" w:cs="Calibri"/>
                <w:color w:val="000000" w:themeColor="text1" w:themeTint="FF" w:themeShade="FF"/>
                <w:sz w:val="24"/>
                <w:szCs w:val="24"/>
                <w:lang w:eastAsia="en-GB"/>
              </w:rPr>
            </w:pPr>
          </w:p>
        </w:tc>
      </w:tr>
      <w:tr w:rsidRPr="00715B69" w:rsidR="00715B69" w:rsidTr="6D36DB3E" w14:paraId="1801B452" w14:textId="77777777">
        <w:trPr/>
        <w:tc>
          <w:tcPr>
            <w:tcW w:w="1725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  <w:hideMark/>
          </w:tcPr>
          <w:p w:rsidRPr="00715B69" w:rsidR="00715B69" w:rsidP="3106113A" w:rsidRDefault="65BC3D16" w14:paraId="013927BA" w14:textId="77777777">
            <w:pPr>
              <w:spacing w:after="0" w:line="235" w:lineRule="atLeast"/>
              <w:jc w:val="left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3106113A" w:rsidR="23A009A4">
              <w:rPr>
                <w:rFonts w:eastAsia="Times New Roman" w:cs="Calibri"/>
                <w:color w:val="000000"/>
                <w:sz w:val="24"/>
                <w:szCs w:val="24"/>
                <w:bdr w:val="none" w:color="auto" w:sz="0" w:space="0" w:frame="1"/>
                <w:lang w:eastAsia="en-GB"/>
              </w:rPr>
              <w:t>Stakeholder Involvement </w:t>
            </w:r>
          </w:p>
        </w:tc>
        <w:tc>
          <w:tcPr>
            <w:tcW w:w="7953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715B69" w:rsidR="00715B69" w:rsidP="3106113A" w:rsidRDefault="65BC3D16" w14:paraId="1CFEB762" w14:textId="77777777">
            <w:pPr>
              <w:spacing w:after="0" w:line="235" w:lineRule="atLeast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3106113A" w:rsidR="23A009A4">
              <w:rPr>
                <w:rFonts w:eastAsia="Times New Roman" w:cs="Calibri"/>
                <w:color w:val="000000"/>
                <w:sz w:val="24"/>
                <w:szCs w:val="24"/>
                <w:bdr w:val="none" w:color="auto" w:sz="0" w:space="0" w:frame="1"/>
                <w:lang w:eastAsia="en-GB"/>
              </w:rPr>
              <w:t xml:space="preserve">The authors should </w:t>
            </w:r>
            <w:r w:rsidRPr="3106113A" w:rsidR="23A009A4">
              <w:rPr>
                <w:rFonts w:eastAsia="Times New Roman" w:cs="Calibri"/>
                <w:color w:val="000000"/>
                <w:sz w:val="24"/>
                <w:szCs w:val="24"/>
                <w:bdr w:val="none" w:color="auto" w:sz="0" w:space="0" w:frame="1"/>
                <w:lang w:eastAsia="en-GB"/>
              </w:rPr>
              <w:t>represent</w:t>
            </w:r>
            <w:r w:rsidRPr="3106113A" w:rsidR="23A009A4">
              <w:rPr>
                <w:rFonts w:eastAsia="Times New Roman" w:cs="Calibri"/>
                <w:color w:val="000000"/>
                <w:sz w:val="24"/>
                <w:szCs w:val="24"/>
                <w:bdr w:val="none" w:color="auto" w:sz="0" w:space="0" w:frame="1"/>
                <w:lang w:eastAsia="en-GB"/>
              </w:rPr>
              <w:t xml:space="preserve"> all groups involved with the implementation of the guidance, or document they have consulted across relevant specialties and </w:t>
            </w:r>
            <w:r w:rsidRPr="3106113A" w:rsidR="23A009A4">
              <w:rPr>
                <w:rFonts w:eastAsia="Times New Roman" w:cs="Calibri"/>
                <w:color w:val="000000"/>
                <w:sz w:val="24"/>
                <w:szCs w:val="24"/>
                <w:bdr w:val="none" w:color="auto" w:sz="0" w:space="0" w:frame="1"/>
                <w:lang w:eastAsia="en-GB"/>
              </w:rPr>
              <w:t>identify</w:t>
            </w:r>
            <w:r w:rsidRPr="3106113A" w:rsidR="23A009A4">
              <w:rPr>
                <w:rFonts w:eastAsia="Times New Roman" w:cs="Calibri"/>
                <w:color w:val="000000"/>
                <w:sz w:val="24"/>
                <w:szCs w:val="24"/>
                <w:bdr w:val="none" w:color="auto" w:sz="0" w:space="0" w:frame="1"/>
                <w:lang w:eastAsia="en-GB"/>
              </w:rPr>
              <w:t xml:space="preserve"> their representatives. </w:t>
            </w:r>
          </w:p>
        </w:tc>
        <w:tc>
          <w:tcPr>
            <w:tcW w:w="4722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715B69" w:rsidR="00715B69" w:rsidP="753E113F" w:rsidRDefault="4A9A2761" w14:paraId="0DA70637" w14:textId="053F7CAE">
            <w:pPr>
              <w:pStyle w:val="Normal"/>
              <w:bidi w:val="0"/>
              <w:spacing w:before="0" w:beforeAutospacing="off" w:after="0" w:afterAutospacing="off"/>
              <w:ind w:left="0" w:right="0"/>
              <w:jc w:val="left"/>
              <w:rPr>
                <w:rFonts w:eastAsia="Times New Roman" w:cs="Calibri"/>
                <w:color w:val="auto" w:themeColor="background1" w:themeTint="FF" w:themeShade="A6"/>
                <w:sz w:val="24"/>
                <w:szCs w:val="24"/>
                <w:lang w:eastAsia="en-GB"/>
              </w:rPr>
            </w:pPr>
          </w:p>
        </w:tc>
      </w:tr>
      <w:tr w:rsidRPr="00715B69" w:rsidR="00715B69" w:rsidTr="6D36DB3E" w14:paraId="535BA521" w14:textId="77777777">
        <w:trPr/>
        <w:tc>
          <w:tcPr>
            <w:tcW w:w="1725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  <w:hideMark/>
          </w:tcPr>
          <w:p w:rsidRPr="00715B69" w:rsidR="00715B69" w:rsidP="3106113A" w:rsidRDefault="65BC3D16" w14:paraId="2D5DDAF1" w14:textId="77777777">
            <w:pPr>
              <w:spacing w:after="0" w:line="235" w:lineRule="atLeast"/>
              <w:jc w:val="left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3106113A" w:rsidR="23A009A4">
              <w:rPr>
                <w:rFonts w:eastAsia="Times New Roman" w:cs="Calibri"/>
                <w:color w:val="000000"/>
                <w:sz w:val="24"/>
                <w:szCs w:val="24"/>
                <w:bdr w:val="none" w:color="auto" w:sz="0" w:space="0" w:frame="1"/>
                <w:lang w:eastAsia="en-GB"/>
              </w:rPr>
              <w:t>Rigour of development </w:t>
            </w:r>
          </w:p>
        </w:tc>
        <w:tc>
          <w:tcPr>
            <w:tcW w:w="7953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715B69" w:rsidR="00715B69" w:rsidP="3106113A" w:rsidRDefault="65BC3D16" w14:paraId="5486AE16" w14:textId="77777777">
            <w:pPr>
              <w:spacing w:after="0" w:line="235" w:lineRule="atLeast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3106113A" w:rsidR="23A009A4">
              <w:rPr>
                <w:rFonts w:eastAsia="Times New Roman" w:cs="Calibri"/>
                <w:color w:val="000000"/>
                <w:sz w:val="24"/>
                <w:szCs w:val="24"/>
                <w:bdr w:val="none" w:color="auto" w:sz="0" w:space="0" w:frame="1"/>
                <w:lang w:eastAsia="en-GB"/>
              </w:rPr>
              <w:t>The evidence base should be described, with references where possible. </w:t>
            </w:r>
            <w:r w:rsidRPr="3106113A" w:rsidR="23A009A4">
              <w:rPr>
                <w:rFonts w:eastAsia="Times New Roman" w:cs="Calibri"/>
                <w:sz w:val="24"/>
                <w:szCs w:val="24"/>
                <w:bdr w:val="none" w:color="auto" w:sz="0" w:space="0" w:frame="1"/>
                <w:lang w:eastAsia="en-GB"/>
              </w:rPr>
              <w:t>It is useful to supply links to relevant national guidance.  </w:t>
            </w:r>
          </w:p>
        </w:tc>
        <w:tc>
          <w:tcPr>
            <w:tcW w:w="4722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715B69" w:rsidR="00715B69" w:rsidP="753E113F" w:rsidRDefault="65BC3D16" w14:paraId="46624170" w14:textId="44D2515F">
            <w:pPr>
              <w:pStyle w:val="Normal"/>
              <w:spacing w:after="0" w:line="235" w:lineRule="atLeast"/>
              <w:rPr>
                <w:rFonts w:eastAsia="Times New Roman" w:cs="Calibri"/>
                <w:sz w:val="24"/>
                <w:szCs w:val="24"/>
                <w:lang w:eastAsia="en-GB"/>
              </w:rPr>
            </w:pPr>
          </w:p>
        </w:tc>
      </w:tr>
      <w:tr w:rsidR="18DD182C" w:rsidTr="6D36DB3E" w14:paraId="02B96562" w14:textId="77777777">
        <w:trPr>
          <w:trHeight w:val="570"/>
        </w:trPr>
        <w:tc>
          <w:tcPr>
            <w:tcW w:w="1725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  <w:hideMark/>
          </w:tcPr>
          <w:p w:rsidR="18DD182C" w:rsidP="3106113A" w:rsidRDefault="18DD182C" w14:paraId="0D6A74A6" w14:textId="3CBA5767">
            <w:pPr>
              <w:spacing w:line="235" w:lineRule="atLeast"/>
              <w:jc w:val="left"/>
              <w:rPr>
                <w:rFonts w:eastAsia="Times New Roman" w:cs="Calibri"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7953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3E77CD6E" w:rsidP="3106113A" w:rsidRDefault="46FAECEF" w14:paraId="58C1A7D1" w14:textId="2C34061B">
            <w:pPr>
              <w:spacing w:line="235" w:lineRule="atLeast"/>
              <w:rPr>
                <w:rFonts w:eastAsia="Times New Roman" w:cs="Calibri"/>
                <w:color w:val="000000" w:themeColor="text1"/>
                <w:sz w:val="24"/>
                <w:szCs w:val="24"/>
                <w:lang w:eastAsia="en-GB"/>
              </w:rPr>
            </w:pPr>
            <w:r w:rsidRPr="3106113A" w:rsidR="5D5184BC">
              <w:rPr>
                <w:rFonts w:eastAsia="Times New Roman" w:cs="Calibri"/>
                <w:color w:val="000000" w:themeColor="text1" w:themeTint="FF" w:themeShade="FF"/>
                <w:sz w:val="24"/>
                <w:szCs w:val="24"/>
                <w:lang w:eastAsia="en-GB"/>
              </w:rPr>
              <w:t xml:space="preserve">Relevant Datix report / SAE / M&amp;M / FAI recommendations </w:t>
            </w:r>
            <w:r w:rsidRPr="3106113A" w:rsidR="5D5184BC">
              <w:rPr>
                <w:rFonts w:eastAsia="Times New Roman" w:cs="Calibri"/>
                <w:b w:val="1"/>
                <w:bCs w:val="1"/>
                <w:color w:val="000000" w:themeColor="text1" w:themeTint="FF" w:themeShade="FF"/>
                <w:sz w:val="24"/>
                <w:szCs w:val="24"/>
                <w:lang w:eastAsia="en-GB"/>
              </w:rPr>
              <w:t>must</w:t>
            </w:r>
            <w:r w:rsidRPr="3106113A" w:rsidR="5D5184BC">
              <w:rPr>
                <w:rFonts w:eastAsia="Times New Roman" w:cs="Calibri"/>
                <w:color w:val="000000" w:themeColor="text1" w:themeTint="FF" w:themeShade="FF"/>
                <w:sz w:val="24"/>
                <w:szCs w:val="24"/>
                <w:lang w:eastAsia="en-GB"/>
              </w:rPr>
              <w:t xml:space="preserve"> be considered</w:t>
            </w:r>
            <w:r w:rsidRPr="3106113A" w:rsidR="60CC1363">
              <w:rPr>
                <w:rFonts w:eastAsia="Times New Roman" w:cs="Calibri"/>
                <w:color w:val="000000" w:themeColor="text1" w:themeTint="FF" w:themeShade="FF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4722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18DD182C" w:rsidP="753E113F" w:rsidRDefault="18DD182C" w14:paraId="66F8909D" w14:textId="77EBBBDD">
            <w:pPr>
              <w:pStyle w:val="Normal"/>
              <w:spacing w:line="235" w:lineRule="atLeast"/>
              <w:rPr>
                <w:rFonts w:eastAsia="Times New Roman" w:cs="Calibri"/>
                <w:color w:val="000000" w:themeColor="text1" w:themeTint="FF" w:themeShade="FF"/>
                <w:sz w:val="24"/>
                <w:szCs w:val="24"/>
                <w:lang w:eastAsia="en-GB"/>
              </w:rPr>
            </w:pPr>
          </w:p>
        </w:tc>
      </w:tr>
      <w:tr w:rsidRPr="00715B69" w:rsidR="00715B69" w:rsidTr="6D36DB3E" w14:paraId="3998B773" w14:textId="77777777">
        <w:trPr/>
        <w:tc>
          <w:tcPr>
            <w:tcW w:w="1725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  <w:hideMark/>
          </w:tcPr>
          <w:p w:rsidRPr="00715B69" w:rsidR="00715B69" w:rsidP="3106113A" w:rsidRDefault="65BC3D16" w14:paraId="4B8484D5" w14:textId="77777777">
            <w:pPr>
              <w:spacing w:after="0" w:line="235" w:lineRule="atLeast"/>
              <w:jc w:val="left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3106113A" w:rsidR="23A009A4">
              <w:rPr>
                <w:rFonts w:eastAsia="Times New Roman" w:cs="Calibri"/>
                <w:color w:val="000000"/>
                <w:sz w:val="24"/>
                <w:szCs w:val="24"/>
                <w:bdr w:val="none" w:color="auto" w:sz="0" w:space="0" w:frame="1"/>
                <w:lang w:eastAsia="en-GB"/>
              </w:rPr>
              <w:t> </w:t>
            </w:r>
          </w:p>
        </w:tc>
        <w:tc>
          <w:tcPr>
            <w:tcW w:w="7953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715B69" w:rsidR="00715B69" w:rsidP="3106113A" w:rsidRDefault="65BC3D16" w14:paraId="5941CAF0" w14:textId="77777777">
            <w:pPr>
              <w:spacing w:after="0" w:line="235" w:lineRule="atLeast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3106113A" w:rsidR="23A009A4">
              <w:rPr>
                <w:rFonts w:eastAsia="Times New Roman" w:cs="Calibri"/>
                <w:color w:val="000000"/>
                <w:sz w:val="24"/>
                <w:szCs w:val="24"/>
                <w:bdr w:val="none" w:color="auto" w:sz="0" w:space="0" w:frame="1"/>
                <w:lang w:eastAsia="en-GB"/>
              </w:rPr>
              <w:t xml:space="preserve">An implementation plan should be defined for any practice changes and criteria for their review noted. This is a lead author responsibility. If not </w:t>
            </w:r>
            <w:r w:rsidRPr="3106113A" w:rsidR="23A009A4">
              <w:rPr>
                <w:rFonts w:eastAsia="Times New Roman" w:cs="Calibri"/>
                <w:color w:val="000000"/>
                <w:sz w:val="24"/>
                <w:szCs w:val="24"/>
                <w:bdr w:val="none" w:color="auto" w:sz="0" w:space="0" w:frame="1"/>
                <w:lang w:eastAsia="en-GB"/>
              </w:rPr>
              <w:t>required</w:t>
            </w:r>
            <w:r w:rsidRPr="3106113A" w:rsidR="23A009A4">
              <w:rPr>
                <w:rFonts w:eastAsia="Times New Roman" w:cs="Calibri"/>
                <w:color w:val="000000"/>
                <w:sz w:val="24"/>
                <w:szCs w:val="24"/>
                <w:bdr w:val="none" w:color="auto" w:sz="0" w:space="0" w:frame="1"/>
                <w:lang w:eastAsia="en-GB"/>
              </w:rPr>
              <w:t xml:space="preserve"> this should be documented </w:t>
            </w:r>
          </w:p>
        </w:tc>
        <w:tc>
          <w:tcPr>
            <w:tcW w:w="4722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715B69" w:rsidR="00715B69" w:rsidP="753E113F" w:rsidRDefault="65BC3D16" w14:paraId="4F8F56C0" w14:textId="7D863A1D">
            <w:pPr>
              <w:pStyle w:val="Normal"/>
              <w:spacing w:after="0" w:line="235" w:lineRule="atLeast"/>
              <w:rPr>
                <w:rFonts w:eastAsia="Times New Roman" w:cs="Calibri"/>
                <w:color w:val="000000" w:themeColor="text1" w:themeTint="FF" w:themeShade="FF"/>
                <w:sz w:val="24"/>
                <w:szCs w:val="24"/>
                <w:lang w:eastAsia="en-GB"/>
              </w:rPr>
            </w:pPr>
          </w:p>
        </w:tc>
      </w:tr>
      <w:tr w:rsidRPr="00715B69" w:rsidR="00715B69" w:rsidTr="6D36DB3E" w14:paraId="74E68CC4" w14:textId="77777777">
        <w:trPr/>
        <w:tc>
          <w:tcPr>
            <w:tcW w:w="1725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  <w:hideMark/>
          </w:tcPr>
          <w:p w:rsidRPr="00715B69" w:rsidR="00715B69" w:rsidP="3106113A" w:rsidRDefault="65BC3D16" w14:paraId="4D17554C" w14:textId="77777777">
            <w:pPr>
              <w:spacing w:after="0" w:line="235" w:lineRule="atLeast"/>
              <w:jc w:val="left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3106113A" w:rsidR="23A009A4">
              <w:rPr>
                <w:rFonts w:eastAsia="Times New Roman" w:cs="Calibri"/>
                <w:color w:val="000000"/>
                <w:sz w:val="24"/>
                <w:szCs w:val="24"/>
                <w:bdr w:val="none" w:color="auto" w:sz="0" w:space="0" w:frame="1"/>
                <w:lang w:eastAsia="en-GB"/>
              </w:rPr>
              <w:t>  </w:t>
            </w:r>
          </w:p>
        </w:tc>
        <w:tc>
          <w:tcPr>
            <w:tcW w:w="7953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715B69" w:rsidR="00715B69" w:rsidP="3106113A" w:rsidRDefault="65BC3D16" w14:paraId="5437C560" w14:textId="77777777">
            <w:pPr>
              <w:spacing w:after="0" w:line="235" w:lineRule="atLeast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3106113A" w:rsidR="23A009A4">
              <w:rPr>
                <w:rFonts w:eastAsia="Times New Roman" w:cs="Calibri"/>
                <w:color w:val="000000"/>
                <w:sz w:val="24"/>
                <w:szCs w:val="24"/>
                <w:bdr w:val="none" w:color="auto" w:sz="0" w:space="0" w:frame="1"/>
                <w:lang w:eastAsia="en-GB"/>
              </w:rPr>
              <w:t>Advice affecting clinical services requires a review date (default = 3 years). The clinical governance group may instruct web page editors to un-publish documents that are overdue review.  </w:t>
            </w:r>
          </w:p>
        </w:tc>
        <w:tc>
          <w:tcPr>
            <w:tcW w:w="4722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715B69" w:rsidR="00715B69" w:rsidP="753E113F" w:rsidRDefault="65BC3D16" w14:paraId="649CC1FA" w14:textId="3190008F">
            <w:pPr>
              <w:pStyle w:val="Normal"/>
              <w:spacing w:after="0" w:line="235" w:lineRule="atLeast"/>
              <w:rPr>
                <w:rFonts w:eastAsia="Times New Roman" w:cs="Calibri"/>
                <w:color w:val="000000" w:themeColor="text1" w:themeTint="FF" w:themeShade="FF"/>
                <w:sz w:val="24"/>
                <w:szCs w:val="24"/>
                <w:lang w:eastAsia="en-GB"/>
              </w:rPr>
            </w:pPr>
          </w:p>
        </w:tc>
      </w:tr>
      <w:tr w:rsidRPr="00715B69" w:rsidR="00715B69" w:rsidTr="6D36DB3E" w14:paraId="7E9AC7E2" w14:textId="77777777">
        <w:trPr>
          <w:trHeight w:val="630"/>
        </w:trPr>
        <w:tc>
          <w:tcPr>
            <w:tcW w:w="1725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  <w:hideMark/>
          </w:tcPr>
          <w:p w:rsidRPr="00715B69" w:rsidR="00715B69" w:rsidP="3106113A" w:rsidRDefault="65BC3D16" w14:paraId="48884BC2" w14:textId="77777777">
            <w:pPr>
              <w:spacing w:after="0" w:line="235" w:lineRule="atLeast"/>
              <w:jc w:val="left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3106113A" w:rsidR="23A009A4">
              <w:rPr>
                <w:rFonts w:eastAsia="Times New Roman" w:cs="Calibri"/>
                <w:color w:val="000000"/>
                <w:sz w:val="24"/>
                <w:szCs w:val="24"/>
                <w:bdr w:val="none" w:color="auto" w:sz="0" w:space="0" w:frame="1"/>
                <w:lang w:eastAsia="en-GB"/>
              </w:rPr>
              <w:t>Clarity of presentation </w:t>
            </w:r>
          </w:p>
        </w:tc>
        <w:tc>
          <w:tcPr>
            <w:tcW w:w="7953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715B69" w:rsidR="00715B69" w:rsidP="3106113A" w:rsidRDefault="65BC3D16" w14:paraId="1D77E81F" w14:textId="62EAF298">
            <w:pPr>
              <w:spacing w:after="0" w:line="235" w:lineRule="atLeast"/>
              <w:rPr>
                <w:rFonts w:eastAsia="Times New Roman" w:cs="Calibri"/>
                <w:color w:val="000000" w:themeColor="text1"/>
                <w:sz w:val="24"/>
                <w:szCs w:val="24"/>
                <w:lang w:eastAsia="en-GB"/>
              </w:rPr>
            </w:pPr>
            <w:r w:rsidRPr="3106113A" w:rsidR="23A009A4">
              <w:rPr>
                <w:rFonts w:eastAsia="Times New Roman" w:cs="Calibri"/>
                <w:color w:val="000000"/>
                <w:sz w:val="24"/>
                <w:szCs w:val="24"/>
                <w:bdr w:val="none" w:color="auto" w:sz="0" w:space="0" w:frame="1"/>
                <w:lang w:eastAsia="en-GB"/>
              </w:rPr>
              <w:t xml:space="preserve">Any clinical advice should be specific in terms of the target patient population. If advice is embedded in a flowchart, please supply keywords </w:t>
            </w:r>
            <w:r w:rsidRPr="3106113A" w:rsidR="251DB589">
              <w:rPr>
                <w:rFonts w:eastAsia="Times New Roman" w:cs="Calibri"/>
                <w:color w:val="000000"/>
                <w:sz w:val="24"/>
                <w:szCs w:val="24"/>
                <w:bdr w:val="none" w:color="auto" w:sz="0" w:space="0" w:frame="1"/>
                <w:lang w:eastAsia="en-GB"/>
              </w:rPr>
              <w:t xml:space="preserve">in </w:t>
            </w:r>
            <w:r w:rsidRPr="3106113A" w:rsidR="251DB589">
              <w:rPr>
                <w:rFonts w:eastAsia="Times New Roman" w:cs="Calibri"/>
                <w:color w:val="000000"/>
                <w:sz w:val="24"/>
                <w:szCs w:val="24"/>
                <w:bdr w:val="none" w:color="auto" w:sz="0" w:space="0" w:frame="1"/>
                <w:lang w:eastAsia="en-GB"/>
              </w:rPr>
              <w:t>order users</w:t>
            </w:r>
            <w:r w:rsidRPr="3106113A" w:rsidR="251DB589">
              <w:rPr>
                <w:rFonts w:eastAsia="Times New Roman" w:cs="Calibri"/>
                <w:color w:val="000000"/>
                <w:sz w:val="24"/>
                <w:szCs w:val="24"/>
                <w:bdr w:val="none" w:color="auto" w:sz="0" w:space="0" w:frame="1"/>
                <w:lang w:eastAsia="en-GB"/>
              </w:rPr>
              <w:t xml:space="preserve"> can </w:t>
            </w:r>
            <w:r w:rsidRPr="3106113A" w:rsidR="251DB589">
              <w:rPr>
                <w:rFonts w:eastAsia="Times New Roman" w:cs="Calibri"/>
                <w:color w:val="000000"/>
                <w:sz w:val="24"/>
                <w:szCs w:val="24"/>
                <w:bdr w:val="none" w:color="auto" w:sz="0" w:space="0" w:frame="1"/>
                <w:lang w:eastAsia="en-GB"/>
              </w:rPr>
              <w:t>locate</w:t>
            </w:r>
            <w:r w:rsidRPr="3106113A" w:rsidR="251DB589">
              <w:rPr>
                <w:rFonts w:eastAsia="Times New Roman" w:cs="Calibri"/>
                <w:color w:val="000000"/>
                <w:sz w:val="24"/>
                <w:szCs w:val="24"/>
                <w:bdr w:val="none" w:color="auto" w:sz="0" w:space="0" w:frame="1"/>
                <w:lang w:eastAsia="en-GB"/>
              </w:rPr>
              <w:t xml:space="preserve"> this easily.</w:t>
            </w:r>
          </w:p>
        </w:tc>
        <w:tc>
          <w:tcPr>
            <w:tcW w:w="4722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715B69" w:rsidR="00715B69" w:rsidP="6E1A399B" w:rsidRDefault="65BC3D16" w14:paraId="10EF996B" w14:textId="0D1DA216">
            <w:pPr>
              <w:pStyle w:val="Normal"/>
              <w:spacing w:after="0" w:line="23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</w:tc>
      </w:tr>
      <w:tr w:rsidRPr="00715B69" w:rsidR="00715B69" w:rsidTr="6D36DB3E" w14:paraId="055ADEB2" w14:textId="77777777">
        <w:trPr/>
        <w:tc>
          <w:tcPr>
            <w:tcW w:w="1725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  <w:hideMark/>
          </w:tcPr>
          <w:p w:rsidRPr="00715B69" w:rsidR="00715B69" w:rsidP="3106113A" w:rsidRDefault="65BC3D16" w14:paraId="5E3886A4" w14:textId="77777777">
            <w:pPr>
              <w:spacing w:after="0" w:line="235" w:lineRule="atLeast"/>
              <w:jc w:val="left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3106113A" w:rsidR="23A009A4">
              <w:rPr>
                <w:rFonts w:eastAsia="Times New Roman" w:cs="Calibri"/>
                <w:color w:val="000000"/>
                <w:sz w:val="24"/>
                <w:szCs w:val="24"/>
                <w:bdr w:val="none" w:color="auto" w:sz="0" w:space="0" w:frame="1"/>
                <w:lang w:eastAsia="en-GB"/>
              </w:rPr>
              <w:t> </w:t>
            </w:r>
          </w:p>
        </w:tc>
        <w:tc>
          <w:tcPr>
            <w:tcW w:w="7953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715B69" w:rsidR="00715B69" w:rsidP="3106113A" w:rsidRDefault="65BC3D16" w14:paraId="62C77595" w14:textId="77777777">
            <w:pPr>
              <w:spacing w:after="0" w:line="235" w:lineRule="atLeast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3106113A" w:rsidR="23A009A4">
              <w:rPr>
                <w:rFonts w:eastAsia="Times New Roman" w:cs="Calibri"/>
                <w:color w:val="000000"/>
                <w:sz w:val="24"/>
                <w:szCs w:val="24"/>
                <w:bdr w:val="none" w:color="auto" w:sz="0" w:space="0" w:frame="1"/>
                <w:lang w:eastAsia="en-GB"/>
              </w:rPr>
              <w:t>The key recommendations should be clear and unambiguous </w:t>
            </w:r>
          </w:p>
        </w:tc>
        <w:tc>
          <w:tcPr>
            <w:tcW w:w="4722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715B69" w:rsidR="00715B69" w:rsidP="5B72D921" w:rsidRDefault="65BC3D16" w14:paraId="4ECEB114" w14:textId="3120AC56">
            <w:pPr>
              <w:pStyle w:val="Normal"/>
              <w:spacing w:after="0" w:line="235" w:lineRule="atLeast"/>
              <w:rPr>
                <w:rFonts w:eastAsia="Times New Roman" w:cs="Calibri"/>
                <w:color w:val="000000" w:themeColor="text1" w:themeTint="FF" w:themeShade="FF"/>
                <w:sz w:val="24"/>
                <w:szCs w:val="24"/>
                <w:lang w:eastAsia="en-GB"/>
              </w:rPr>
            </w:pPr>
          </w:p>
        </w:tc>
      </w:tr>
      <w:tr w:rsidRPr="00715B69" w:rsidR="00715B69" w:rsidTr="6D36DB3E" w14:paraId="69A5C19F" w14:textId="77777777">
        <w:trPr/>
        <w:tc>
          <w:tcPr>
            <w:tcW w:w="1725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  <w:hideMark/>
          </w:tcPr>
          <w:p w:rsidRPr="00715B69" w:rsidR="00715B69" w:rsidP="3106113A" w:rsidRDefault="65BC3D16" w14:paraId="0D8BF348" w14:textId="77777777">
            <w:pPr>
              <w:spacing w:after="0" w:line="235" w:lineRule="atLeast"/>
              <w:jc w:val="left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3106113A" w:rsidR="23A009A4">
              <w:rPr>
                <w:rFonts w:eastAsia="Times New Roman" w:cs="Calibri"/>
                <w:color w:val="000000"/>
                <w:sz w:val="24"/>
                <w:szCs w:val="24"/>
                <w:bdr w:val="none" w:color="auto" w:sz="0" w:space="0" w:frame="1"/>
                <w:lang w:eastAsia="en-GB"/>
              </w:rPr>
              <w:t> </w:t>
            </w:r>
          </w:p>
        </w:tc>
        <w:tc>
          <w:tcPr>
            <w:tcW w:w="7953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715B69" w:rsidR="00715B69" w:rsidP="3106113A" w:rsidRDefault="65BC3D16" w14:paraId="4E849C6C" w14:textId="56DE9169">
            <w:pPr>
              <w:spacing w:after="0" w:line="235" w:lineRule="atLeast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3106113A" w:rsidR="23A009A4">
              <w:rPr>
                <w:rFonts w:eastAsia="Times New Roman" w:cs="Calibri"/>
                <w:color w:val="000000"/>
                <w:sz w:val="24"/>
                <w:szCs w:val="24"/>
                <w:bdr w:val="none" w:color="auto" w:sz="0" w:space="0" w:frame="1"/>
                <w:lang w:eastAsia="en-GB"/>
              </w:rPr>
              <w:t xml:space="preserve">There should be an identified point of contact for further </w:t>
            </w:r>
            <w:r w:rsidRPr="3106113A" w:rsidR="23A009A4">
              <w:rPr>
                <w:rFonts w:eastAsia="Times New Roman" w:cs="Calibri"/>
                <w:color w:val="000000"/>
                <w:sz w:val="24"/>
                <w:szCs w:val="24"/>
                <w:bdr w:val="none" w:color="auto" w:sz="0" w:space="0" w:frame="1"/>
                <w:lang w:eastAsia="en-GB"/>
              </w:rPr>
              <w:t>assistance</w:t>
            </w:r>
            <w:r w:rsidRPr="3106113A" w:rsidR="23A009A4">
              <w:rPr>
                <w:rFonts w:eastAsia="Times New Roman" w:cs="Calibri"/>
                <w:color w:val="000000"/>
                <w:sz w:val="24"/>
                <w:szCs w:val="24"/>
                <w:bdr w:val="none" w:color="auto" w:sz="0" w:space="0" w:frame="1"/>
                <w:lang w:eastAsia="en-GB"/>
              </w:rPr>
              <w:t>, telephone/</w:t>
            </w:r>
            <w:r w:rsidRPr="3106113A" w:rsidR="23A009A4">
              <w:rPr>
                <w:rFonts w:eastAsia="Times New Roman" w:cs="Calibri"/>
                <w:color w:val="000000"/>
                <w:sz w:val="24"/>
                <w:szCs w:val="24"/>
                <w:bdr w:val="none" w:color="auto" w:sz="0" w:space="0" w:frame="1"/>
                <w:lang w:eastAsia="en-GB"/>
              </w:rPr>
              <w:t>dect</w:t>
            </w:r>
            <w:r w:rsidRPr="3106113A" w:rsidR="23A009A4">
              <w:rPr>
                <w:rFonts w:eastAsia="Times New Roman" w:cs="Calibri"/>
                <w:color w:val="000000"/>
                <w:sz w:val="24"/>
                <w:szCs w:val="24"/>
                <w:bdr w:val="none" w:color="auto" w:sz="0" w:space="0" w:frame="1"/>
                <w:lang w:eastAsia="en-GB"/>
              </w:rPr>
              <w:t xml:space="preserve"> or email. </w:t>
            </w:r>
            <w:r w:rsidRPr="3106113A" w:rsidR="48F2E542">
              <w:rPr>
                <w:rFonts w:eastAsia="Times New Roman" w:cs="Calibri"/>
                <w:color w:val="000000"/>
                <w:sz w:val="24"/>
                <w:szCs w:val="24"/>
                <w:bdr w:val="none" w:color="auto" w:sz="0" w:space="0" w:frame="1"/>
                <w:lang w:eastAsia="en-GB"/>
              </w:rPr>
              <w:t>(24h)</w:t>
            </w:r>
          </w:p>
        </w:tc>
        <w:tc>
          <w:tcPr>
            <w:tcW w:w="4722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715B69" w:rsidR="00715B69" w:rsidP="49F998CA" w:rsidRDefault="65BC3D16" w14:paraId="5EDB29A5" w14:textId="2DD8C8DB">
            <w:pPr>
              <w:pStyle w:val="Normal"/>
              <w:spacing w:after="0" w:line="235" w:lineRule="atLeast"/>
            </w:pPr>
          </w:p>
        </w:tc>
      </w:tr>
      <w:tr w:rsidRPr="00715B69" w:rsidR="00715B69" w:rsidTr="6D36DB3E" w14:paraId="3F21D211" w14:textId="77777777">
        <w:trPr/>
        <w:tc>
          <w:tcPr>
            <w:tcW w:w="1725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  <w:hideMark/>
          </w:tcPr>
          <w:p w:rsidRPr="00715B69" w:rsidR="00715B69" w:rsidP="3106113A" w:rsidRDefault="65BC3D16" w14:paraId="4AB2EBD5" w14:textId="77777777">
            <w:pPr>
              <w:spacing w:after="0" w:line="235" w:lineRule="atLeast"/>
              <w:jc w:val="left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3106113A" w:rsidR="23A009A4">
              <w:rPr>
                <w:rFonts w:eastAsia="Times New Roman" w:cs="Calibri"/>
                <w:color w:val="000000"/>
                <w:sz w:val="24"/>
                <w:szCs w:val="24"/>
                <w:bdr w:val="none" w:color="auto" w:sz="0" w:space="0" w:frame="1"/>
                <w:lang w:eastAsia="en-GB"/>
              </w:rPr>
              <w:t>Applicability </w:t>
            </w:r>
          </w:p>
        </w:tc>
        <w:tc>
          <w:tcPr>
            <w:tcW w:w="7953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715B69" w:rsidR="00715B69" w:rsidP="3106113A" w:rsidRDefault="65BC3D16" w14:paraId="7523D76F" w14:textId="77777777">
            <w:pPr>
              <w:spacing w:after="0" w:line="235" w:lineRule="atLeast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3106113A" w:rsidR="23A009A4">
              <w:rPr>
                <w:rFonts w:eastAsia="Times New Roman" w:cs="Calibri"/>
                <w:color w:val="000000"/>
                <w:sz w:val="24"/>
                <w:szCs w:val="24"/>
                <w:bdr w:val="none" w:color="auto" w:sz="0" w:space="0" w:frame="1"/>
                <w:lang w:eastAsia="en-GB"/>
              </w:rPr>
              <w:t xml:space="preserve">It should be clear to which areas the guidance </w:t>
            </w:r>
            <w:r w:rsidRPr="3106113A" w:rsidR="23A009A4">
              <w:rPr>
                <w:rFonts w:eastAsia="Times New Roman" w:cs="Calibri"/>
                <w:color w:val="000000"/>
                <w:sz w:val="24"/>
                <w:szCs w:val="24"/>
                <w:bdr w:val="none" w:color="auto" w:sz="0" w:space="0" w:frame="1"/>
                <w:lang w:eastAsia="en-GB"/>
              </w:rPr>
              <w:t>applies, or</w:t>
            </w:r>
            <w:r w:rsidRPr="3106113A" w:rsidR="23A009A4">
              <w:rPr>
                <w:rFonts w:eastAsia="Times New Roman" w:cs="Calibri"/>
                <w:color w:val="000000"/>
                <w:sz w:val="24"/>
                <w:szCs w:val="24"/>
                <w:bdr w:val="none" w:color="auto" w:sz="0" w:space="0" w:frame="1"/>
                <w:lang w:eastAsia="en-GB"/>
              </w:rPr>
              <w:t xml:space="preserve"> does NOT apply (noting / linking to related guidance can be helpful). It should be clear who the intended users are </w:t>
            </w:r>
          </w:p>
        </w:tc>
        <w:tc>
          <w:tcPr>
            <w:tcW w:w="4722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715B69" w:rsidR="00715B69" w:rsidP="5B72D921" w:rsidRDefault="65BC3D16" w14:paraId="4474F8A0" w14:textId="4549506D">
            <w:pPr>
              <w:pStyle w:val="Normal"/>
              <w:spacing w:after="0" w:line="235" w:lineRule="atLeast"/>
              <w:rPr>
                <w:rFonts w:eastAsia="Times New Roman" w:cs="Calibri"/>
                <w:color w:val="000000" w:themeColor="text1" w:themeTint="FF" w:themeShade="FF"/>
                <w:sz w:val="24"/>
                <w:szCs w:val="24"/>
                <w:lang w:eastAsia="en-GB"/>
              </w:rPr>
            </w:pPr>
          </w:p>
        </w:tc>
      </w:tr>
      <w:tr w:rsidRPr="00715B69" w:rsidR="00715B69" w:rsidTr="6D36DB3E" w14:paraId="7BF900AF" w14:textId="77777777">
        <w:trPr/>
        <w:tc>
          <w:tcPr>
            <w:tcW w:w="1725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  <w:hideMark/>
          </w:tcPr>
          <w:p w:rsidRPr="00715B69" w:rsidR="00715B69" w:rsidP="3106113A" w:rsidRDefault="65BC3D16" w14:paraId="0BE5B506" w14:textId="77777777">
            <w:pPr>
              <w:spacing w:after="0" w:line="235" w:lineRule="atLeast"/>
              <w:jc w:val="left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3106113A" w:rsidR="23A009A4">
              <w:rPr>
                <w:rFonts w:eastAsia="Times New Roman" w:cs="Calibri"/>
                <w:color w:val="000000"/>
                <w:sz w:val="24"/>
                <w:szCs w:val="24"/>
                <w:bdr w:val="none" w:color="auto" w:sz="0" w:space="0" w:frame="1"/>
                <w:lang w:eastAsia="en-GB"/>
              </w:rPr>
              <w:lastRenderedPageBreak/>
              <w:t>Editorial independence </w:t>
            </w:r>
          </w:p>
        </w:tc>
        <w:tc>
          <w:tcPr>
            <w:tcW w:w="7953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715B69" w:rsidR="00715B69" w:rsidP="3106113A" w:rsidRDefault="65BC3D16" w14:paraId="2F52DFEE" w14:textId="77777777">
            <w:pPr>
              <w:spacing w:after="0" w:line="235" w:lineRule="atLeast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3106113A" w:rsidR="23A009A4">
              <w:rPr>
                <w:rFonts w:eastAsia="Times New Roman" w:cs="Calibri"/>
                <w:color w:val="000000"/>
                <w:sz w:val="24"/>
                <w:szCs w:val="24"/>
                <w:bdr w:val="none" w:color="auto" w:sz="0" w:space="0" w:frame="1"/>
                <w:lang w:eastAsia="en-GB"/>
              </w:rPr>
              <w:t xml:space="preserve">If the guideline has undergone a clinical content review, the reviewers </w:t>
            </w:r>
            <w:r w:rsidRPr="3106113A" w:rsidR="23A009A4">
              <w:rPr>
                <w:rFonts w:eastAsia="Times New Roman" w:cs="Calibri"/>
                <w:color w:val="000000"/>
                <w:sz w:val="24"/>
                <w:szCs w:val="24"/>
                <w:bdr w:val="none" w:color="auto" w:sz="0" w:space="0" w:frame="1"/>
                <w:lang w:eastAsia="en-GB"/>
              </w:rPr>
              <w:t>require</w:t>
            </w:r>
            <w:r w:rsidRPr="3106113A" w:rsidR="23A009A4">
              <w:rPr>
                <w:rFonts w:eastAsia="Times New Roman" w:cs="Calibri"/>
                <w:color w:val="000000"/>
                <w:sz w:val="24"/>
                <w:szCs w:val="24"/>
                <w:bdr w:val="none" w:color="auto" w:sz="0" w:space="0" w:frame="1"/>
                <w:lang w:eastAsia="en-GB"/>
              </w:rPr>
              <w:t xml:space="preserve"> to document this has been suitably independent of the lead authorship and has been appropriately broad. Often this will be a full departmental or multi-specialty group meeting. (If minor revisions only, this is not </w:t>
            </w:r>
            <w:r w:rsidRPr="3106113A" w:rsidR="23A009A4">
              <w:rPr>
                <w:rFonts w:eastAsia="Times New Roman" w:cs="Calibri"/>
                <w:color w:val="000000"/>
                <w:sz w:val="24"/>
                <w:szCs w:val="24"/>
                <w:bdr w:val="none" w:color="auto" w:sz="0" w:space="0" w:frame="1"/>
                <w:lang w:eastAsia="en-GB"/>
              </w:rPr>
              <w:t>required</w:t>
            </w:r>
            <w:r w:rsidRPr="3106113A" w:rsidR="23A009A4">
              <w:rPr>
                <w:rFonts w:eastAsia="Times New Roman" w:cs="Calibri"/>
                <w:color w:val="000000"/>
                <w:sz w:val="24"/>
                <w:szCs w:val="24"/>
                <w:bdr w:val="none" w:color="auto" w:sz="0" w:space="0" w:frame="1"/>
                <w:lang w:eastAsia="en-GB"/>
              </w:rPr>
              <w:t>).  </w:t>
            </w:r>
          </w:p>
          <w:p w:rsidRPr="00715B69" w:rsidR="00715B69" w:rsidP="4548C128" w:rsidRDefault="65BC3D16" w14:paraId="3B8542B7" w14:textId="11825041">
            <w:pPr>
              <w:spacing w:after="0" w:line="235" w:lineRule="atLeast"/>
              <w:rPr>
                <w:rFonts w:eastAsia="Times New Roman" w:cs="Calibri"/>
                <w:color w:val="000000" w:themeColor="text1" w:themeTint="FF" w:themeShade="FF"/>
                <w:sz w:val="24"/>
                <w:szCs w:val="24"/>
                <w:lang w:eastAsia="en-GB"/>
              </w:rPr>
            </w:pPr>
            <w:r w:rsidRPr="3106113A" w:rsidR="30160246">
              <w:rPr>
                <w:rFonts w:eastAsia="Times New Roman" w:cs="Calibri"/>
                <w:color w:val="000000"/>
                <w:sz w:val="24"/>
                <w:szCs w:val="24"/>
                <w:bdr w:val="none" w:color="auto" w:sz="0" w:space="0" w:frame="1"/>
                <w:lang w:eastAsia="en-GB"/>
              </w:rPr>
              <w:t xml:space="preserve">Please </w:t>
            </w:r>
            <w:r w:rsidRPr="3106113A" w:rsidR="30160246">
              <w:rPr>
                <w:rFonts w:eastAsia="Times New Roman" w:cs="Calibri"/>
                <w:color w:val="000000"/>
                <w:sz w:val="24"/>
                <w:szCs w:val="24"/>
                <w:bdr w:val="none" w:color="auto" w:sz="0" w:space="0" w:frame="1"/>
                <w:lang w:eastAsia="en-GB"/>
              </w:rPr>
              <w:t>include</w:t>
            </w:r>
            <w:r w:rsidRPr="3106113A" w:rsidR="4311888D">
              <w:rPr>
                <w:rFonts w:eastAsia="Times New Roman" w:cs="Calibri"/>
                <w:color w:val="000000"/>
                <w:sz w:val="24"/>
                <w:szCs w:val="24"/>
                <w:bdr w:val="none" w:color="auto" w:sz="0" w:space="0" w:frame="1"/>
                <w:lang w:eastAsia="en-GB"/>
              </w:rPr>
              <w:t xml:space="preserve"> </w:t>
            </w:r>
            <w:r w:rsidRPr="3106113A" w:rsidR="23A009A4">
              <w:rPr>
                <w:rFonts w:eastAsia="Times New Roman" w:cs="Calibri"/>
                <w:color w:val="000000"/>
                <w:sz w:val="24"/>
                <w:szCs w:val="24"/>
                <w:bdr w:val="none" w:color="auto" w:sz="0" w:space="0" w:frame="1"/>
                <w:lang w:eastAsia="en-GB"/>
              </w:rPr>
              <w:t>name</w:t>
            </w:r>
            <w:r w:rsidRPr="3106113A" w:rsidR="23A009A4">
              <w:rPr>
                <w:rFonts w:eastAsia="Times New Roman" w:cs="Calibri"/>
                <w:color w:val="000000"/>
                <w:sz w:val="24"/>
                <w:szCs w:val="24"/>
                <w:bdr w:val="none" w:color="auto" w:sz="0" w:space="0" w:frame="1"/>
                <w:lang w:eastAsia="en-GB"/>
              </w:rPr>
              <w:t xml:space="preserve"> of the review group &amp; chairperson </w:t>
            </w:r>
          </w:p>
          <w:p w:rsidRPr="00715B69" w:rsidR="00715B69" w:rsidP="6D36DB3E" w:rsidRDefault="65BC3D16" w14:paraId="20ADF567" w14:textId="00C9A8FB">
            <w:pPr>
              <w:spacing w:after="0" w:line="235" w:lineRule="atLeast"/>
              <w:rPr>
                <w:rFonts w:eastAsia="Times New Roman" w:cs="Calibri"/>
                <w:color w:val="000000" w:themeColor="text1" w:themeTint="FF" w:themeShade="FF"/>
                <w:sz w:val="24"/>
                <w:szCs w:val="24"/>
                <w:lang w:eastAsia="en-GB"/>
              </w:rPr>
            </w:pPr>
            <w:r w:rsidRPr="3106113A" w:rsidR="23A009A4">
              <w:rPr>
                <w:rFonts w:eastAsia="Times New Roman" w:cs="Calibri"/>
                <w:color w:val="000000"/>
                <w:sz w:val="24"/>
                <w:szCs w:val="24"/>
                <w:bdr w:val="none" w:color="auto" w:sz="0" w:space="0" w:frame="1"/>
                <w:lang w:eastAsia="en-GB"/>
              </w:rPr>
              <w:t xml:space="preserve">If medicines form part of the </w:t>
            </w:r>
            <w:r w:rsidRPr="3106113A" w:rsidR="23A009A4">
              <w:rPr>
                <w:rFonts w:eastAsia="Times New Roman" w:cs="Calibri"/>
                <w:color w:val="000000"/>
                <w:sz w:val="24"/>
                <w:szCs w:val="24"/>
                <w:bdr w:val="none" w:color="auto" w:sz="0" w:space="0" w:frame="1"/>
                <w:lang w:eastAsia="en-GB"/>
              </w:rPr>
              <w:t>guidance</w:t>
            </w:r>
            <w:r w:rsidRPr="3106113A" w:rsidR="23A009A4">
              <w:rPr>
                <w:rFonts w:eastAsia="Times New Roman" w:cs="Calibri"/>
                <w:color w:val="000000"/>
                <w:sz w:val="24"/>
                <w:szCs w:val="24"/>
                <w:bdr w:val="none" w:color="auto" w:sz="0" w:space="0" w:frame="1"/>
                <w:lang w:eastAsia="en-GB"/>
              </w:rPr>
              <w:t xml:space="preserve"> then a pharmacist must </w:t>
            </w:r>
            <w:r w:rsidRPr="3106113A" w:rsidR="23A009A4">
              <w:rPr>
                <w:rFonts w:eastAsia="Times New Roman" w:cs="Calibri"/>
                <w:color w:val="000000"/>
                <w:sz w:val="24"/>
                <w:szCs w:val="24"/>
                <w:bdr w:val="none" w:color="auto" w:sz="0" w:space="0" w:frame="1"/>
                <w:lang w:eastAsia="en-GB"/>
              </w:rPr>
              <w:t>participate</w:t>
            </w:r>
            <w:r w:rsidRPr="3106113A" w:rsidR="23A009A4">
              <w:rPr>
                <w:rFonts w:eastAsia="Times New Roman" w:cs="Calibri"/>
                <w:color w:val="000000"/>
                <w:sz w:val="24"/>
                <w:szCs w:val="24"/>
                <w:bdr w:val="none" w:color="auto" w:sz="0" w:space="0" w:frame="1"/>
                <w:lang w:eastAsia="en-GB"/>
              </w:rPr>
              <w:t xml:space="preserve"> in the review</w:t>
            </w:r>
            <w:r w:rsidRPr="3106113A" w:rsidR="2F442301">
              <w:rPr>
                <w:rFonts w:eastAsia="Times New Roman" w:cs="Calibri"/>
                <w:color w:val="000000"/>
                <w:sz w:val="24"/>
                <w:szCs w:val="24"/>
                <w:bdr w:val="none" w:color="auto" w:sz="0" w:space="0" w:frame="1"/>
                <w:lang w:eastAsia="en-GB"/>
              </w:rPr>
              <w:t xml:space="preserve">, please include their name</w:t>
            </w:r>
          </w:p>
        </w:tc>
        <w:tc>
          <w:tcPr>
            <w:tcW w:w="4722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715B69" w:rsidR="00715B69" w:rsidP="6EBDD8C8" w:rsidRDefault="65BC3D16" w14:paraId="2C650A56" w14:textId="48132019">
            <w:pPr>
              <w:spacing w:after="0" w:line="235" w:lineRule="atLeast"/>
              <w:rPr>
                <w:rFonts w:eastAsia="Times New Roman" w:cs="Calibri"/>
                <w:color w:val="auto"/>
                <w:sz w:val="24"/>
                <w:szCs w:val="24"/>
                <w:lang w:eastAsia="en-GB"/>
              </w:rPr>
            </w:pPr>
          </w:p>
        </w:tc>
      </w:tr>
      <w:tr w:rsidRPr="00715B69" w:rsidR="00715B69" w:rsidTr="6D36DB3E" w14:paraId="489D9936" w14:textId="77777777">
        <w:trPr/>
        <w:tc>
          <w:tcPr>
            <w:tcW w:w="1725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  <w:hideMark/>
          </w:tcPr>
          <w:p w:rsidRPr="00715B69" w:rsidR="00715B69" w:rsidP="3106113A" w:rsidRDefault="65BC3D16" w14:paraId="40A8278E" w14:textId="77777777">
            <w:pPr>
              <w:spacing w:after="0" w:line="235" w:lineRule="atLeast"/>
              <w:jc w:val="left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3106113A" w:rsidR="23A009A4">
              <w:rPr>
                <w:rFonts w:eastAsia="Times New Roman" w:cs="Calibri"/>
                <w:color w:val="000000"/>
                <w:sz w:val="24"/>
                <w:szCs w:val="24"/>
                <w:bdr w:val="none" w:color="auto" w:sz="0" w:space="0" w:frame="1"/>
                <w:lang w:eastAsia="en-GB"/>
              </w:rPr>
              <w:t>Resource implications </w:t>
            </w:r>
          </w:p>
        </w:tc>
        <w:tc>
          <w:tcPr>
            <w:tcW w:w="7953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715B69" w:rsidR="00715B69" w:rsidP="3106113A" w:rsidRDefault="65BC3D16" w14:paraId="74C595E0" w14:textId="206D364C">
            <w:pPr>
              <w:spacing w:after="0" w:line="235" w:lineRule="atLeast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3106113A" w:rsidR="23A009A4">
              <w:rPr>
                <w:rFonts w:eastAsia="Times New Roman" w:cs="Calibri"/>
                <w:color w:val="000000"/>
                <w:sz w:val="24"/>
                <w:szCs w:val="24"/>
                <w:bdr w:val="none" w:color="auto" w:sz="0" w:space="0" w:frame="1"/>
                <w:lang w:eastAsia="en-GB"/>
              </w:rPr>
              <w:t>This applies to staff resource and physical resources such as space or equipment.  </w:t>
            </w:r>
            <w:r w:rsidRPr="3106113A" w:rsidR="23A009A4">
              <w:rPr>
                <w:rFonts w:eastAsia="Times New Roman" w:cs="Calibri"/>
                <w:color w:val="000000"/>
                <w:sz w:val="24"/>
                <w:szCs w:val="24"/>
                <w:bdr w:val="none" w:color="auto" w:sz="0" w:space="0" w:frame="1"/>
                <w:lang w:eastAsia="en-GB"/>
              </w:rPr>
              <w:t>Pharmacy resources must be considered in line with the GGC formulary</w:t>
            </w:r>
            <w:r w:rsidRPr="3106113A" w:rsidR="73C7F731">
              <w:rPr>
                <w:rFonts w:eastAsia="Times New Roman" w:cs="Calibri"/>
                <w:color w:val="000000"/>
                <w:sz w:val="24"/>
                <w:szCs w:val="24"/>
                <w:bdr w:val="none" w:color="auto" w:sz="0" w:space="0" w:frame="1"/>
                <w:lang w:eastAsia="en-GB"/>
              </w:rPr>
              <w:t xml:space="preserve">. </w:t>
            </w:r>
            <w:r w:rsidRPr="3106113A" w:rsidR="23A009A4">
              <w:rPr>
                <w:rFonts w:eastAsia="Times New Roman" w:cs="Calibri"/>
                <w:color w:val="000000"/>
                <w:sz w:val="24"/>
                <w:szCs w:val="24"/>
                <w:bdr w:val="none" w:color="auto" w:sz="0" w:space="0" w:frame="1"/>
                <w:lang w:eastAsia="en-GB"/>
              </w:rPr>
              <w:t xml:space="preserve">Resources for </w:t>
            </w:r>
            <w:r w:rsidRPr="3106113A" w:rsidR="23A009A4">
              <w:rPr>
                <w:rFonts w:eastAsia="Times New Roman" w:cs="Calibri"/>
                <w:color w:val="000000"/>
                <w:sz w:val="24"/>
                <w:szCs w:val="24"/>
                <w:bdr w:val="none" w:color="auto" w:sz="0" w:space="0" w:frame="1"/>
                <w:lang w:eastAsia="en-GB"/>
              </w:rPr>
              <w:t>appropriate review / audit</w:t>
            </w:r>
            <w:r w:rsidRPr="3106113A" w:rsidR="23A009A4">
              <w:rPr>
                <w:rFonts w:eastAsia="Times New Roman" w:cs="Calibri"/>
                <w:color w:val="000000"/>
                <w:sz w:val="24"/>
                <w:szCs w:val="24"/>
                <w:bdr w:val="none" w:color="auto" w:sz="0" w:space="0" w:frame="1"/>
                <w:lang w:eastAsia="en-GB"/>
              </w:rPr>
              <w:t xml:space="preserve"> require to be </w:t>
            </w:r>
            <w:r w:rsidRPr="3106113A" w:rsidR="23A009A4">
              <w:rPr>
                <w:rFonts w:eastAsia="Times New Roman" w:cs="Calibri"/>
                <w:color w:val="000000"/>
                <w:sz w:val="24"/>
                <w:szCs w:val="24"/>
                <w:bdr w:val="none" w:color="auto" w:sz="0" w:space="0" w:frame="1"/>
                <w:lang w:eastAsia="en-GB"/>
              </w:rPr>
              <w:t>identified</w:t>
            </w:r>
            <w:r w:rsidRPr="3106113A" w:rsidR="23A009A4">
              <w:rPr>
                <w:rFonts w:eastAsia="Times New Roman" w:cs="Calibri"/>
                <w:color w:val="000000"/>
                <w:sz w:val="24"/>
                <w:szCs w:val="24"/>
                <w:bdr w:val="none" w:color="auto" w:sz="0" w:space="0" w:frame="1"/>
                <w:lang w:eastAsia="en-GB"/>
              </w:rPr>
              <w:t xml:space="preserve"> where appropriate </w:t>
            </w:r>
          </w:p>
        </w:tc>
        <w:tc>
          <w:tcPr>
            <w:tcW w:w="4722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715B69" w:rsidR="00715B69" w:rsidP="49F998CA" w:rsidRDefault="65BC3D16" w14:paraId="365DB198" w14:textId="59E92933">
            <w:pPr>
              <w:spacing w:after="0" w:line="235" w:lineRule="atLeast"/>
              <w:rPr>
                <w:rFonts w:eastAsia="Times New Roman" w:cs="Calibri"/>
                <w:sz w:val="24"/>
                <w:szCs w:val="24"/>
                <w:lang w:eastAsia="en-GB"/>
              </w:rPr>
            </w:pPr>
          </w:p>
        </w:tc>
      </w:tr>
      <w:tr w:rsidR="18DD182C" w:rsidTr="6D36DB3E" w14:paraId="066427E6" w14:textId="77777777">
        <w:trPr>
          <w:trHeight w:val="300"/>
        </w:trPr>
        <w:tc>
          <w:tcPr>
            <w:tcW w:w="14400" w:type="dxa"/>
            <w:gridSpan w:val="3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  <w:hideMark/>
          </w:tcPr>
          <w:p w:rsidR="18DD182C" w:rsidP="3106113A" w:rsidRDefault="18DD182C" w14:paraId="7457FECB" w14:textId="45A9646B">
            <w:pPr>
              <w:spacing w:line="235" w:lineRule="atLeast"/>
              <w:jc w:val="left"/>
              <w:rPr>
                <w:rFonts w:eastAsia="Times New Roman" w:cs="Calibri"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18DD182C" w:rsidTr="6D36DB3E" w14:paraId="49F2C216" w14:textId="77777777">
        <w:trPr/>
        <w:tc>
          <w:tcPr>
            <w:tcW w:w="1725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  <w:hideMark/>
          </w:tcPr>
          <w:p w:rsidR="3B288DEB" w:rsidP="3106113A" w:rsidRDefault="19FB56EF" w14:paraId="209245CB" w14:textId="06BDA7FB">
            <w:pPr>
              <w:spacing w:line="235" w:lineRule="atLeast"/>
              <w:jc w:val="left"/>
              <w:rPr>
                <w:rFonts w:eastAsia="Times New Roman" w:cs="Calibri"/>
                <w:b w:val="0"/>
                <w:bCs w:val="0"/>
                <w:color w:val="000000" w:themeColor="text1"/>
                <w:sz w:val="24"/>
                <w:szCs w:val="24"/>
                <w:lang w:eastAsia="en-GB"/>
              </w:rPr>
            </w:pPr>
            <w:r w:rsidRPr="6D36DB3E" w:rsidR="6217CA0B">
              <w:rPr>
                <w:rFonts w:eastAsia="Times New Roman" w:cs="Calibri"/>
                <w:b w:val="0"/>
                <w:bCs w:val="0"/>
                <w:color w:val="000000" w:themeColor="text1" w:themeTint="FF" w:themeShade="FF"/>
                <w:sz w:val="24"/>
                <w:szCs w:val="24"/>
                <w:lang w:eastAsia="en-GB"/>
              </w:rPr>
              <w:t>Authors notes</w:t>
            </w:r>
          </w:p>
          <w:p w:rsidR="18DD182C" w:rsidP="3106113A" w:rsidRDefault="18DD182C" w14:paraId="12E79646" w14:textId="33B0503A">
            <w:pPr>
              <w:spacing w:line="235" w:lineRule="atLeast"/>
              <w:jc w:val="left"/>
              <w:rPr>
                <w:rFonts w:eastAsia="Times New Roman" w:cs="Calibri"/>
                <w:b w:val="0"/>
                <w:bCs w:val="0"/>
                <w:color w:val="000000" w:themeColor="text1"/>
                <w:sz w:val="24"/>
                <w:szCs w:val="24"/>
                <w:lang w:eastAsia="en-GB"/>
              </w:rPr>
            </w:pPr>
          </w:p>
          <w:p w:rsidR="18DD182C" w:rsidP="3106113A" w:rsidRDefault="18DD182C" w14:paraId="28771612" w14:textId="51E69975">
            <w:pPr>
              <w:spacing w:line="235" w:lineRule="atLeast"/>
              <w:jc w:val="left"/>
              <w:rPr>
                <w:rFonts w:eastAsia="Times New Roman" w:cs="Calibri"/>
                <w:b w:val="0"/>
                <w:bCs w:val="0"/>
                <w:color w:val="000000" w:themeColor="text1"/>
                <w:sz w:val="24"/>
                <w:szCs w:val="24"/>
                <w:lang w:eastAsia="en-GB"/>
              </w:rPr>
            </w:pPr>
          </w:p>
          <w:p w:rsidR="18DD182C" w:rsidP="6D36DB3E" w:rsidRDefault="18DD182C" w14:paraId="3D1FDA8D" w14:textId="2E00DA7C">
            <w:pPr>
              <w:pStyle w:val="Normal"/>
              <w:spacing w:line="235" w:lineRule="atLeast"/>
              <w:jc w:val="left"/>
              <w:rPr>
                <w:rFonts w:eastAsia="Times New Roman" w:cs="Calibri"/>
                <w:b w:val="0"/>
                <w:bCs w:val="0"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12675" w:type="dxa"/>
            <w:gridSpan w:val="2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18DD182C" w:rsidP="3106113A" w:rsidRDefault="18DD182C" w14:paraId="073D14EE" w14:textId="2FC85F54">
            <w:pPr>
              <w:spacing w:line="235" w:lineRule="atLeast"/>
              <w:rPr>
                <w:rFonts w:eastAsia="Times New Roman" w:cs="Calibri"/>
                <w:b w:val="0"/>
                <w:bCs w:val="0"/>
                <w:color w:val="000000" w:themeColor="text1"/>
                <w:sz w:val="24"/>
                <w:szCs w:val="24"/>
                <w:lang w:eastAsia="en-GB"/>
              </w:rPr>
            </w:pPr>
            <w:r w:rsidRPr="6D36DB3E" w:rsidR="5A59AF62">
              <w:rPr>
                <w:rFonts w:eastAsia="Times New Roman" w:cs="Calibri"/>
                <w:b w:val="1"/>
                <w:bCs w:val="1"/>
                <w:color w:val="000000" w:themeColor="text1" w:themeTint="FF" w:themeShade="FF"/>
                <w:sz w:val="24"/>
                <w:szCs w:val="24"/>
                <w:lang w:eastAsia="en-GB"/>
              </w:rPr>
              <w:t>“</w:t>
            </w:r>
            <w:r w:rsidRPr="6D36DB3E" w:rsidR="2F891051">
              <w:rPr>
                <w:rFonts w:eastAsia="Times New Roman" w:cs="Calibri"/>
                <w:b w:val="1"/>
                <w:bCs w:val="1"/>
                <w:color w:val="000000" w:themeColor="text1" w:themeTint="FF" w:themeShade="FF"/>
                <w:sz w:val="24"/>
                <w:szCs w:val="24"/>
                <w:lang w:eastAsia="en-GB"/>
              </w:rPr>
              <w:t>WHATS NEW</w:t>
            </w:r>
            <w:r w:rsidRPr="6D36DB3E" w:rsidR="2DE8FF36">
              <w:rPr>
                <w:rFonts w:eastAsia="Times New Roman" w:cs="Calibri"/>
                <w:b w:val="1"/>
                <w:bCs w:val="1"/>
                <w:color w:val="000000" w:themeColor="text1" w:themeTint="FF" w:themeShade="FF"/>
                <w:sz w:val="24"/>
                <w:szCs w:val="24"/>
                <w:lang w:eastAsia="en-GB"/>
              </w:rPr>
              <w:t>”</w:t>
            </w:r>
            <w:r w:rsidRPr="6D36DB3E" w:rsidR="2F891051">
              <w:rPr>
                <w:rFonts w:eastAsia="Times New Roman" w:cs="Calibri"/>
                <w:b w:val="1"/>
                <w:bCs w:val="1"/>
                <w:color w:val="000000" w:themeColor="text1" w:themeTint="FF" w:themeShade="FF"/>
                <w:sz w:val="24"/>
                <w:szCs w:val="24"/>
                <w:lang w:eastAsia="en-GB"/>
              </w:rPr>
              <w:t xml:space="preserve"> we have the </w:t>
            </w:r>
            <w:r w:rsidRPr="6D36DB3E" w:rsidR="2F891051">
              <w:rPr>
                <w:rFonts w:eastAsia="Times New Roman" w:cs="Calibri"/>
                <w:b w:val="1"/>
                <w:bCs w:val="1"/>
                <w:color w:val="000000" w:themeColor="text1" w:themeTint="FF" w:themeShade="FF"/>
                <w:sz w:val="24"/>
                <w:szCs w:val="24"/>
                <w:lang w:eastAsia="en-GB"/>
              </w:rPr>
              <w:t>capacity</w:t>
            </w:r>
            <w:r w:rsidRPr="6D36DB3E" w:rsidR="2F891051">
              <w:rPr>
                <w:rFonts w:eastAsia="Times New Roman" w:cs="Calibri"/>
                <w:b w:val="1"/>
                <w:bCs w:val="1"/>
                <w:color w:val="000000" w:themeColor="text1" w:themeTint="FF" w:themeShade="FF"/>
                <w:sz w:val="24"/>
                <w:szCs w:val="24"/>
                <w:lang w:eastAsia="en-GB"/>
              </w:rPr>
              <w:t xml:space="preserve"> to put up an alert in the front page of your guidance alerting readers to the changes you have made in this revision</w:t>
            </w:r>
            <w:r w:rsidRPr="6D36DB3E" w:rsidR="450D24E9">
              <w:rPr>
                <w:rFonts w:eastAsia="Times New Roman" w:cs="Calibri"/>
                <w:b w:val="1"/>
                <w:bCs w:val="1"/>
                <w:color w:val="000000" w:themeColor="text1" w:themeTint="FF" w:themeShade="FF"/>
                <w:sz w:val="24"/>
                <w:szCs w:val="24"/>
                <w:lang w:eastAsia="en-GB"/>
              </w:rPr>
              <w:t xml:space="preserve">.  </w:t>
            </w:r>
            <w:r w:rsidRPr="6D36DB3E" w:rsidR="450D24E9">
              <w:rPr>
                <w:rFonts w:eastAsia="Times New Roman" w:cs="Calibri"/>
                <w:b w:val="0"/>
                <w:bCs w:val="0"/>
                <w:color w:val="000000" w:themeColor="text1" w:themeTint="FF" w:themeShade="FF"/>
                <w:sz w:val="24"/>
                <w:szCs w:val="24"/>
                <w:lang w:eastAsia="en-GB"/>
              </w:rPr>
              <w:t>This will help existing users become familiar with upda</w:t>
            </w:r>
            <w:r w:rsidRPr="6D36DB3E" w:rsidR="36AD624D">
              <w:rPr>
                <w:rFonts w:eastAsia="Times New Roman" w:cs="Calibri"/>
                <w:b w:val="0"/>
                <w:bCs w:val="0"/>
                <w:color w:val="000000" w:themeColor="text1" w:themeTint="FF" w:themeShade="FF"/>
                <w:sz w:val="24"/>
                <w:szCs w:val="24"/>
                <w:lang w:eastAsia="en-GB"/>
              </w:rPr>
              <w:t xml:space="preserve">tes in practice. </w:t>
            </w:r>
            <w:r w:rsidRPr="6D36DB3E" w:rsidR="450D24E9">
              <w:rPr>
                <w:rFonts w:eastAsia="Times New Roman" w:cs="Calibri"/>
                <w:b w:val="0"/>
                <w:bCs w:val="0"/>
                <w:color w:val="000000" w:themeColor="text1" w:themeTint="FF" w:themeShade="FF"/>
                <w:sz w:val="24"/>
                <w:szCs w:val="24"/>
                <w:lang w:eastAsia="en-GB"/>
              </w:rPr>
              <w:t xml:space="preserve">Please give </w:t>
            </w:r>
            <w:r w:rsidRPr="6D36DB3E" w:rsidR="450D24E9">
              <w:rPr>
                <w:rFonts w:eastAsia="Times New Roman" w:cs="Calibri"/>
                <w:b w:val="0"/>
                <w:bCs w:val="0"/>
                <w:color w:val="000000" w:themeColor="text1" w:themeTint="FF" w:themeShade="FF"/>
                <w:sz w:val="24"/>
                <w:szCs w:val="24"/>
                <w:lang w:eastAsia="en-GB"/>
              </w:rPr>
              <w:t xml:space="preserve">a </w:t>
            </w:r>
            <w:r w:rsidRPr="6D36DB3E" w:rsidR="450D24E9">
              <w:rPr>
                <w:rFonts w:eastAsia="Times New Roman" w:cs="Calibri"/>
                <w:b w:val="0"/>
                <w:bCs w:val="0"/>
                <w:color w:val="000000" w:themeColor="text1" w:themeTint="FF" w:themeShade="FF"/>
                <w:sz w:val="24"/>
                <w:szCs w:val="24"/>
                <w:lang w:eastAsia="en-GB"/>
              </w:rPr>
              <w:t>short summary</w:t>
            </w:r>
            <w:r w:rsidRPr="6D36DB3E" w:rsidR="24CBF2BE">
              <w:rPr>
                <w:rFonts w:eastAsia="Times New Roman" w:cs="Calibri"/>
                <w:b w:val="0"/>
                <w:bCs w:val="0"/>
                <w:color w:val="000000" w:themeColor="text1" w:themeTint="FF" w:themeShade="FF"/>
                <w:sz w:val="24"/>
                <w:szCs w:val="24"/>
                <w:lang w:eastAsia="en-GB"/>
              </w:rPr>
              <w:t xml:space="preserve"> (max 100 words); </w:t>
            </w:r>
          </w:p>
        </w:tc>
      </w:tr>
      <w:tr w:rsidR="18DD182C" w:rsidTr="6D36DB3E" w14:paraId="7DA32E16" w14:textId="77777777">
        <w:trPr>
          <w:trHeight w:val="1215"/>
        </w:trPr>
        <w:tc>
          <w:tcPr>
            <w:tcW w:w="1725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  <w:hideMark/>
          </w:tcPr>
          <w:p w:rsidR="18DD182C" w:rsidP="3106113A" w:rsidRDefault="18DD182C" w14:paraId="148979CC" w14:textId="51302369">
            <w:pPr>
              <w:spacing w:line="235" w:lineRule="atLeast"/>
              <w:jc w:val="left"/>
              <w:rPr>
                <w:rFonts w:eastAsia="Times New Roman" w:cs="Calibri"/>
                <w:color w:val="000000" w:themeColor="text1"/>
                <w:sz w:val="24"/>
                <w:szCs w:val="24"/>
                <w:lang w:eastAsia="en-GB"/>
              </w:rPr>
            </w:pPr>
            <w:r w:rsidRPr="6D36DB3E" w:rsidR="1B75E149">
              <w:rPr>
                <w:rFonts w:eastAsia="Times New Roman" w:cs="Calibri"/>
                <w:color w:val="000000" w:themeColor="text1" w:themeTint="FF" w:themeShade="FF"/>
                <w:sz w:val="24"/>
                <w:szCs w:val="24"/>
                <w:lang w:eastAsia="en-GB"/>
              </w:rPr>
              <w:t>Editors</w:t>
            </w:r>
            <w:r w:rsidRPr="6D36DB3E" w:rsidR="357562D8">
              <w:rPr>
                <w:rFonts w:eastAsia="Times New Roman" w:cs="Calibri"/>
                <w:color w:val="000000" w:themeColor="text1" w:themeTint="FF" w:themeShade="FF"/>
                <w:sz w:val="24"/>
                <w:szCs w:val="24"/>
                <w:lang w:eastAsia="en-GB"/>
              </w:rPr>
              <w:t xml:space="preserve"> / other</w:t>
            </w:r>
            <w:r w:rsidRPr="6D36DB3E" w:rsidR="1B75E149">
              <w:rPr>
                <w:rFonts w:eastAsia="Times New Roman" w:cs="Calibri"/>
                <w:color w:val="000000" w:themeColor="text1" w:themeTint="FF" w:themeShade="FF"/>
                <w:sz w:val="24"/>
                <w:szCs w:val="24"/>
                <w:lang w:eastAsia="en-GB"/>
              </w:rPr>
              <w:t xml:space="preserve"> note</w:t>
            </w:r>
            <w:r w:rsidRPr="6D36DB3E" w:rsidR="7E5CB23C">
              <w:rPr>
                <w:rFonts w:eastAsia="Times New Roman" w:cs="Calibri"/>
                <w:color w:val="000000" w:themeColor="text1" w:themeTint="FF" w:themeShade="FF"/>
                <w:sz w:val="24"/>
                <w:szCs w:val="24"/>
                <w:lang w:eastAsia="en-GB"/>
              </w:rPr>
              <w:t>s</w:t>
            </w:r>
          </w:p>
        </w:tc>
        <w:tc>
          <w:tcPr>
            <w:tcW w:w="12675" w:type="dxa"/>
            <w:gridSpan w:val="2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18DD182C" w:rsidP="3106113A" w:rsidRDefault="18DD182C" w14:paraId="74FB7B98" w14:textId="0E9D622B">
            <w:pPr>
              <w:spacing w:line="235" w:lineRule="atLeast"/>
              <w:rPr>
                <w:rFonts w:eastAsia="Times New Roman" w:cs="Calibri"/>
                <w:color w:val="000000" w:themeColor="text1"/>
                <w:sz w:val="24"/>
                <w:szCs w:val="24"/>
                <w:lang w:eastAsia="en-GB"/>
              </w:rPr>
            </w:pPr>
          </w:p>
        </w:tc>
      </w:tr>
    </w:tbl>
    <w:p w:rsidR="2AE5FAFB" w:rsidP="6D36DB3E" w:rsidRDefault="2AE5FAFB" w14:paraId="755845EC" w14:textId="19B2EA09">
      <w:pPr>
        <w:spacing w:before="0" w:beforeAutospacing="off" w:after="0" w:afterAutospacing="off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GB"/>
        </w:rPr>
      </w:pPr>
      <w:r w:rsidRPr="00AC6373" w:rsidR="0F8C598F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GB"/>
        </w:rPr>
        <w:t xml:space="preserve">If there are fields that </w:t>
      </w:r>
      <w:r w:rsidRPr="00AC6373" w:rsidR="0F8C598F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GB"/>
        </w:rPr>
        <w:t>don't</w:t>
      </w:r>
      <w:r w:rsidRPr="00AC6373" w:rsidR="0F8C598F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GB"/>
        </w:rPr>
        <w:t xml:space="preserve"> apply in the </w:t>
      </w:r>
      <w:r w:rsidRPr="00AC6373" w:rsidR="0F8C598F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GB"/>
        </w:rPr>
        <w:t>template</w:t>
      </w:r>
      <w:r w:rsidRPr="00AC6373" w:rsidR="0F8C598F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GB"/>
        </w:rPr>
        <w:t xml:space="preserve"> then please complete what you can </w:t>
      </w:r>
      <w:r w:rsidRPr="00AC6373" w:rsidR="0F8C598F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GB"/>
        </w:rPr>
        <w:t>&amp; our</w:t>
      </w:r>
      <w:r w:rsidRPr="00AC6373" w:rsidR="0F8C598F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GB"/>
        </w:rPr>
        <w:t xml:space="preserve"> editorial team will </w:t>
      </w:r>
      <w:r w:rsidRPr="00AC6373" w:rsidR="0F8C598F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GB"/>
        </w:rPr>
        <w:t>help out</w:t>
      </w:r>
      <w:r w:rsidRPr="00AC6373" w:rsidR="0F8C598F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GB"/>
        </w:rPr>
        <w:t xml:space="preserve"> with the rest</w:t>
      </w:r>
      <w:r w:rsidRPr="00AC6373" w:rsidR="0F8C598F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GB"/>
        </w:rPr>
        <w:t xml:space="preserve">.  </w:t>
      </w:r>
      <w:r w:rsidRPr="00AC6373" w:rsidR="0F8C598F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GB"/>
        </w:rPr>
        <w:t xml:space="preserve">The </w:t>
      </w:r>
      <w:r w:rsidRPr="00AC6373" w:rsidR="769C6062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GB"/>
        </w:rPr>
        <w:t>simplest</w:t>
      </w:r>
      <w:r w:rsidRPr="00AC6373" w:rsidR="0F8C598F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GB"/>
        </w:rPr>
        <w:t xml:space="preserve"> process will be for the lead author to review the content then changes are agreed by the department at </w:t>
      </w:r>
      <w:r w:rsidRPr="00AC6373" w:rsidR="3A52D7CB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GB"/>
        </w:rPr>
        <w:t>a</w:t>
      </w:r>
      <w:r w:rsidRPr="00AC6373" w:rsidR="0F8C598F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GB"/>
        </w:rPr>
        <w:t xml:space="preserve"> regular meeting in a discussion that takes note of the various agree domains for approval as listed in the template. For reviews (as opposed to new guideline approvals) the 'rigour of development</w:t>
      </w:r>
      <w:r w:rsidRPr="00AC6373" w:rsidR="393006F2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GB"/>
        </w:rPr>
        <w:t xml:space="preserve"> &amp; stakeholder involvement”</w:t>
      </w:r>
      <w:r w:rsidRPr="00AC6373" w:rsidR="0F8C598F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GB"/>
        </w:rPr>
        <w:t xml:space="preserve"> domain</w:t>
      </w:r>
      <w:r w:rsidRPr="00AC6373" w:rsidR="4B2D12B8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GB"/>
        </w:rPr>
        <w:t>s</w:t>
      </w:r>
      <w:r w:rsidRPr="00AC6373" w:rsidR="0F8C598F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00AC6373" w:rsidR="11ED95FF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GB"/>
        </w:rPr>
        <w:t>are</w:t>
      </w:r>
      <w:r w:rsidRPr="00AC6373" w:rsidR="18156BCB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00AC6373" w:rsidR="0F8C598F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GB"/>
        </w:rPr>
        <w:t>the most relevant, many of the other categories can be answered "done as per original version" &amp; initialled by your guideline lead</w:t>
      </w:r>
      <w:r w:rsidRPr="00AC6373" w:rsidR="0B4A252C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GB"/>
        </w:rPr>
        <w:t xml:space="preserve"> / lead author prior</w:t>
      </w:r>
      <w:r w:rsidRPr="00AC6373" w:rsidR="3E6BC83E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GB"/>
        </w:rPr>
        <w:t xml:space="preserve"> to</w:t>
      </w:r>
      <w:r w:rsidRPr="00AC6373" w:rsidR="0B4A252C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GB"/>
        </w:rPr>
        <w:t xml:space="preserve"> submission. </w:t>
      </w:r>
    </w:p>
    <w:p w:rsidR="6D36DB3E" w:rsidP="6D36DB3E" w:rsidRDefault="6D36DB3E" w14:paraId="609848F9" w14:textId="232840E4">
      <w:pPr>
        <w:spacing w:before="0" w:beforeAutospacing="off" w:after="0" w:afterAutospacing="off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27D9C09C" w:rsidP="6D36DB3E" w:rsidRDefault="27D9C09C" w14:paraId="6C481948" w14:textId="5A761E65">
      <w:pPr>
        <w:spacing w:before="0" w:beforeAutospacing="off" w:after="0" w:afterAutospacing="off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GB"/>
        </w:rPr>
      </w:pPr>
      <w:r w:rsidRPr="00AC6373" w:rsidR="27D9C09C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GB"/>
        </w:rPr>
        <w:t>Content approval is for your departmental group</w:t>
      </w:r>
      <w:r w:rsidRPr="00AC6373" w:rsidR="14ABCDF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GB"/>
        </w:rPr>
        <w:t xml:space="preserve"> to agree</w:t>
      </w:r>
      <w:r w:rsidRPr="00AC6373" w:rsidR="27D9C09C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GB"/>
        </w:rPr>
        <w:t>. Editorial checks will follow, the</w:t>
      </w:r>
      <w:r w:rsidRPr="00AC6373" w:rsidR="3D42C6BC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GB"/>
        </w:rPr>
        <w:t xml:space="preserve">se may include standardisation of </w:t>
      </w:r>
      <w:r w:rsidRPr="00AC6373" w:rsidR="73A437AA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GB"/>
        </w:rPr>
        <w:t>t</w:t>
      </w:r>
      <w:r w:rsidRPr="00AC6373" w:rsidR="3D42C6BC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GB"/>
        </w:rPr>
        <w:t xml:space="preserve">itles / </w:t>
      </w:r>
      <w:r w:rsidRPr="00AC6373" w:rsidR="3D42C6BC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GB"/>
        </w:rPr>
        <w:t>subtitles</w:t>
      </w:r>
      <w:r w:rsidRPr="00AC6373" w:rsidR="65E90F51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GB"/>
        </w:rPr>
        <w:t>,</w:t>
      </w:r>
      <w:r w:rsidRPr="00AC6373" w:rsidR="3D42C6BC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GB"/>
        </w:rPr>
        <w:t xml:space="preserve"> format</w:t>
      </w:r>
      <w:r w:rsidRPr="00AC6373" w:rsidR="73EE8D3A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GB"/>
        </w:rPr>
        <w:t>ting</w:t>
      </w:r>
      <w:r w:rsidRPr="00AC6373" w:rsidR="72B9A303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GB"/>
        </w:rPr>
        <w:t>,</w:t>
      </w:r>
      <w:r w:rsidRPr="00AC6373" w:rsidR="040C7970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00AC6373" w:rsidR="2655898C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GB"/>
        </w:rPr>
        <w:t>ch</w:t>
      </w:r>
      <w:r w:rsidRPr="00AC6373" w:rsidR="3D42C6BC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GB"/>
        </w:rPr>
        <w:t xml:space="preserve">ecking the approval template, </w:t>
      </w:r>
      <w:r w:rsidRPr="00AC6373" w:rsidR="3D42C6BC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GB"/>
        </w:rPr>
        <w:t>assisting</w:t>
      </w:r>
      <w:r w:rsidRPr="00AC6373" w:rsidR="10AB1275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00AC6373" w:rsidR="3D42C6BC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GB"/>
        </w:rPr>
        <w:t>with e</w:t>
      </w:r>
      <w:r w:rsidRPr="00AC6373" w:rsidR="7E9AA576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GB"/>
        </w:rPr>
        <w:t xml:space="preserve">xternal opinions if </w:t>
      </w:r>
      <w:r w:rsidRPr="00AC6373" w:rsidR="7E9AA576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GB"/>
        </w:rPr>
        <w:t>req</w:t>
      </w:r>
      <w:r w:rsidRPr="00AC6373" w:rsidR="7C4B145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GB"/>
        </w:rPr>
        <w:t xml:space="preserve">. </w:t>
      </w:r>
      <w:r w:rsidRPr="00AC6373" w:rsidR="447C3EDD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GB"/>
        </w:rPr>
        <w:t xml:space="preserve">and </w:t>
      </w:r>
      <w:r w:rsidRPr="00AC6373" w:rsidR="7E9AA576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GB"/>
        </w:rPr>
        <w:t xml:space="preserve">checking that recommendations do not contradict other local guidance </w:t>
      </w:r>
      <w:r w:rsidRPr="00AC6373" w:rsidR="0E69A899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GB"/>
        </w:rPr>
        <w:t>o</w:t>
      </w:r>
      <w:r w:rsidRPr="00AC6373" w:rsidR="405ADEA1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GB"/>
        </w:rPr>
        <w:t>r</w:t>
      </w:r>
      <w:r w:rsidRPr="00AC6373" w:rsidR="0E69A899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00AC6373" w:rsidR="7C3CF18D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GB"/>
        </w:rPr>
        <w:t xml:space="preserve">existing </w:t>
      </w:r>
      <w:r w:rsidRPr="00AC6373" w:rsidR="0E69A899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GB"/>
        </w:rPr>
        <w:t>RHC hospital practice</w:t>
      </w:r>
      <w:r w:rsidRPr="00AC6373" w:rsidR="0183DF76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GB"/>
        </w:rPr>
        <w:t xml:space="preserve">. </w:t>
      </w:r>
      <w:r w:rsidRPr="00AC6373" w:rsidR="0AC8C4A3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GB"/>
        </w:rPr>
        <w:t>The guideline group will also deal with any copyright issues</w:t>
      </w:r>
      <w:r w:rsidRPr="00AC6373" w:rsidR="4960ED30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GB"/>
        </w:rPr>
        <w:t>,</w:t>
      </w:r>
      <w:r w:rsidRPr="00AC6373" w:rsidR="0AC8C4A3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GB"/>
        </w:rPr>
        <w:t xml:space="preserve"> if you have ‘borrowed’ content, just highlight this in </w:t>
      </w:r>
      <w:r w:rsidRPr="00AC6373" w:rsidR="70CBB296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GB"/>
        </w:rPr>
        <w:t xml:space="preserve">notes above. </w:t>
      </w:r>
    </w:p>
    <w:sectPr w:rsidR="00715B69" w:rsidSect="00924A8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3">
    <w:nsid w:val="4582128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cf96ed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28EBC4D6"/>
    <w:multiLevelType w:val="hybridMultilevel"/>
    <w:tmpl w:val="34E24494"/>
    <w:lvl w:ilvl="0" w:tplc="549AF792">
      <w:start w:val="1"/>
      <w:numFmt w:val="decimal"/>
      <w:lvlText w:val="%1."/>
      <w:lvlJc w:val="left"/>
      <w:pPr>
        <w:ind w:left="720" w:hanging="360"/>
      </w:pPr>
    </w:lvl>
    <w:lvl w:ilvl="1" w:tplc="485EA71E">
      <w:start w:val="1"/>
      <w:numFmt w:val="lowerLetter"/>
      <w:lvlText w:val="%2."/>
      <w:lvlJc w:val="left"/>
      <w:pPr>
        <w:ind w:left="1440" w:hanging="360"/>
      </w:pPr>
    </w:lvl>
    <w:lvl w:ilvl="2" w:tplc="D1AAF144">
      <w:start w:val="1"/>
      <w:numFmt w:val="lowerRoman"/>
      <w:lvlText w:val="%3."/>
      <w:lvlJc w:val="right"/>
      <w:pPr>
        <w:ind w:left="2160" w:hanging="180"/>
      </w:pPr>
    </w:lvl>
    <w:lvl w:ilvl="3" w:tplc="8070A8A8">
      <w:start w:val="1"/>
      <w:numFmt w:val="decimal"/>
      <w:lvlText w:val="%4."/>
      <w:lvlJc w:val="left"/>
      <w:pPr>
        <w:ind w:left="2880" w:hanging="360"/>
      </w:pPr>
    </w:lvl>
    <w:lvl w:ilvl="4" w:tplc="D6DC3EEA">
      <w:start w:val="1"/>
      <w:numFmt w:val="lowerLetter"/>
      <w:lvlText w:val="%5."/>
      <w:lvlJc w:val="left"/>
      <w:pPr>
        <w:ind w:left="3600" w:hanging="360"/>
      </w:pPr>
    </w:lvl>
    <w:lvl w:ilvl="5" w:tplc="23503F98">
      <w:start w:val="1"/>
      <w:numFmt w:val="lowerRoman"/>
      <w:lvlText w:val="%6."/>
      <w:lvlJc w:val="right"/>
      <w:pPr>
        <w:ind w:left="4320" w:hanging="180"/>
      </w:pPr>
    </w:lvl>
    <w:lvl w:ilvl="6" w:tplc="1E5C2576">
      <w:start w:val="1"/>
      <w:numFmt w:val="decimal"/>
      <w:lvlText w:val="%7."/>
      <w:lvlJc w:val="left"/>
      <w:pPr>
        <w:ind w:left="5040" w:hanging="360"/>
      </w:pPr>
    </w:lvl>
    <w:lvl w:ilvl="7" w:tplc="7FD47E0C">
      <w:start w:val="1"/>
      <w:numFmt w:val="lowerLetter"/>
      <w:lvlText w:val="%8."/>
      <w:lvlJc w:val="left"/>
      <w:pPr>
        <w:ind w:left="5760" w:hanging="360"/>
      </w:pPr>
    </w:lvl>
    <w:lvl w:ilvl="8" w:tplc="0784B50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B60FD2"/>
    <w:multiLevelType w:val="multilevel"/>
    <w:tmpl w:val="3064B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4">
    <w:abstractNumId w:val="3"/>
  </w:num>
  <w:num w:numId="3">
    <w:abstractNumId w:val="2"/>
  </w:num>
  <w:num w:numId="1" w16cid:durableId="1094740638">
    <w:abstractNumId w:val="0"/>
  </w:num>
  <w:num w:numId="2" w16cid:durableId="18468959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B69"/>
    <w:rsid w:val="00037161"/>
    <w:rsid w:val="000D0480"/>
    <w:rsid w:val="00165E78"/>
    <w:rsid w:val="002B48EB"/>
    <w:rsid w:val="00323D2B"/>
    <w:rsid w:val="00352D2F"/>
    <w:rsid w:val="003704EA"/>
    <w:rsid w:val="0041534C"/>
    <w:rsid w:val="00715B69"/>
    <w:rsid w:val="00746ECA"/>
    <w:rsid w:val="007545E3"/>
    <w:rsid w:val="007E5B72"/>
    <w:rsid w:val="00924A8C"/>
    <w:rsid w:val="00AC6373"/>
    <w:rsid w:val="00C0E341"/>
    <w:rsid w:val="00C704E8"/>
    <w:rsid w:val="00CC7EB0"/>
    <w:rsid w:val="00FD0852"/>
    <w:rsid w:val="011963C2"/>
    <w:rsid w:val="016F10F6"/>
    <w:rsid w:val="017FB03D"/>
    <w:rsid w:val="018214FC"/>
    <w:rsid w:val="0183DF76"/>
    <w:rsid w:val="0197DCE6"/>
    <w:rsid w:val="01C1934C"/>
    <w:rsid w:val="020FE300"/>
    <w:rsid w:val="0257DCC4"/>
    <w:rsid w:val="0277CC4A"/>
    <w:rsid w:val="028190BC"/>
    <w:rsid w:val="030AE157"/>
    <w:rsid w:val="031E0FDE"/>
    <w:rsid w:val="03255685"/>
    <w:rsid w:val="036C7A08"/>
    <w:rsid w:val="03F88403"/>
    <w:rsid w:val="040C7970"/>
    <w:rsid w:val="043AF7E3"/>
    <w:rsid w:val="04722D1E"/>
    <w:rsid w:val="04BC7CBB"/>
    <w:rsid w:val="04E159A7"/>
    <w:rsid w:val="04F8115D"/>
    <w:rsid w:val="058BA3D2"/>
    <w:rsid w:val="0617FFD0"/>
    <w:rsid w:val="061F1405"/>
    <w:rsid w:val="06370368"/>
    <w:rsid w:val="07074AA4"/>
    <w:rsid w:val="0728D43F"/>
    <w:rsid w:val="073BD982"/>
    <w:rsid w:val="0765D528"/>
    <w:rsid w:val="07B57758"/>
    <w:rsid w:val="07B706CC"/>
    <w:rsid w:val="08A31B05"/>
    <w:rsid w:val="08CBF526"/>
    <w:rsid w:val="08E9086C"/>
    <w:rsid w:val="08EA0166"/>
    <w:rsid w:val="09DA9D8D"/>
    <w:rsid w:val="0A4DC4E1"/>
    <w:rsid w:val="0A63443B"/>
    <w:rsid w:val="0A67C587"/>
    <w:rsid w:val="0A9B5576"/>
    <w:rsid w:val="0ABD778D"/>
    <w:rsid w:val="0AC8C4A3"/>
    <w:rsid w:val="0ADEAC1B"/>
    <w:rsid w:val="0AEFE027"/>
    <w:rsid w:val="0B4A252C"/>
    <w:rsid w:val="0B590184"/>
    <w:rsid w:val="0BA042EB"/>
    <w:rsid w:val="0BF942F2"/>
    <w:rsid w:val="0C17382B"/>
    <w:rsid w:val="0C36179D"/>
    <w:rsid w:val="0C54BC89"/>
    <w:rsid w:val="0C569161"/>
    <w:rsid w:val="0C894609"/>
    <w:rsid w:val="0C9E1124"/>
    <w:rsid w:val="0CCA3812"/>
    <w:rsid w:val="0CF1653C"/>
    <w:rsid w:val="0D185107"/>
    <w:rsid w:val="0D2C0D69"/>
    <w:rsid w:val="0D57B07F"/>
    <w:rsid w:val="0D5C58D1"/>
    <w:rsid w:val="0D5D7562"/>
    <w:rsid w:val="0E1AD7BE"/>
    <w:rsid w:val="0E4BE5FE"/>
    <w:rsid w:val="0E69A899"/>
    <w:rsid w:val="0EA0FF90"/>
    <w:rsid w:val="0EA290D8"/>
    <w:rsid w:val="0F282E94"/>
    <w:rsid w:val="0F36B55E"/>
    <w:rsid w:val="0F57BEB0"/>
    <w:rsid w:val="0F84D370"/>
    <w:rsid w:val="0F8C598F"/>
    <w:rsid w:val="0FE9645F"/>
    <w:rsid w:val="10189405"/>
    <w:rsid w:val="10422C9C"/>
    <w:rsid w:val="1062898C"/>
    <w:rsid w:val="10AB1275"/>
    <w:rsid w:val="10B89239"/>
    <w:rsid w:val="10C599B3"/>
    <w:rsid w:val="10CA9839"/>
    <w:rsid w:val="1105A569"/>
    <w:rsid w:val="1178DCD7"/>
    <w:rsid w:val="1182A72D"/>
    <w:rsid w:val="118534C0"/>
    <w:rsid w:val="119D3316"/>
    <w:rsid w:val="11AE0C1C"/>
    <w:rsid w:val="11ED95FF"/>
    <w:rsid w:val="124ADAF9"/>
    <w:rsid w:val="125CC13A"/>
    <w:rsid w:val="12C53B72"/>
    <w:rsid w:val="13210521"/>
    <w:rsid w:val="1359F8C3"/>
    <w:rsid w:val="135ECCB9"/>
    <w:rsid w:val="142A9D4A"/>
    <w:rsid w:val="14ABCDF7"/>
    <w:rsid w:val="14B60630"/>
    <w:rsid w:val="1554690D"/>
    <w:rsid w:val="159461FC"/>
    <w:rsid w:val="159FCB4D"/>
    <w:rsid w:val="15A5776A"/>
    <w:rsid w:val="15BF9916"/>
    <w:rsid w:val="163BE9FD"/>
    <w:rsid w:val="168FB6CB"/>
    <w:rsid w:val="1690C781"/>
    <w:rsid w:val="169E36F1"/>
    <w:rsid w:val="16A8B922"/>
    <w:rsid w:val="17115C94"/>
    <w:rsid w:val="171B7FA8"/>
    <w:rsid w:val="172205A2"/>
    <w:rsid w:val="176484F2"/>
    <w:rsid w:val="17BD2F23"/>
    <w:rsid w:val="17C51E40"/>
    <w:rsid w:val="17D1059B"/>
    <w:rsid w:val="17EC5198"/>
    <w:rsid w:val="180A5108"/>
    <w:rsid w:val="18156BCB"/>
    <w:rsid w:val="1845C03F"/>
    <w:rsid w:val="18547314"/>
    <w:rsid w:val="18C22D5C"/>
    <w:rsid w:val="18DD182C"/>
    <w:rsid w:val="18E366F6"/>
    <w:rsid w:val="19499ABB"/>
    <w:rsid w:val="198339FF"/>
    <w:rsid w:val="19866BDA"/>
    <w:rsid w:val="19CC805A"/>
    <w:rsid w:val="19FB56EF"/>
    <w:rsid w:val="1A0EBE52"/>
    <w:rsid w:val="1A410301"/>
    <w:rsid w:val="1A5CFCB6"/>
    <w:rsid w:val="1A754274"/>
    <w:rsid w:val="1ADBA788"/>
    <w:rsid w:val="1AEA61BD"/>
    <w:rsid w:val="1AF5F366"/>
    <w:rsid w:val="1B00EB37"/>
    <w:rsid w:val="1B1AAFD5"/>
    <w:rsid w:val="1B461934"/>
    <w:rsid w:val="1B5E7646"/>
    <w:rsid w:val="1B75E149"/>
    <w:rsid w:val="1B989976"/>
    <w:rsid w:val="1BF4BADA"/>
    <w:rsid w:val="1BFC99B3"/>
    <w:rsid w:val="1C153866"/>
    <w:rsid w:val="1C753664"/>
    <w:rsid w:val="1D49C253"/>
    <w:rsid w:val="1D5E9F4F"/>
    <w:rsid w:val="1D9857ED"/>
    <w:rsid w:val="1E13484A"/>
    <w:rsid w:val="1E57F2D5"/>
    <w:rsid w:val="1E8D7AB6"/>
    <w:rsid w:val="1EE7390C"/>
    <w:rsid w:val="1F085115"/>
    <w:rsid w:val="1F13F525"/>
    <w:rsid w:val="1F3E525E"/>
    <w:rsid w:val="1F469564"/>
    <w:rsid w:val="2012CCAD"/>
    <w:rsid w:val="20233E34"/>
    <w:rsid w:val="202773BE"/>
    <w:rsid w:val="202BF50A"/>
    <w:rsid w:val="206B95A5"/>
    <w:rsid w:val="20A55D41"/>
    <w:rsid w:val="20D63835"/>
    <w:rsid w:val="20E8A989"/>
    <w:rsid w:val="2163D1D2"/>
    <w:rsid w:val="2193E46F"/>
    <w:rsid w:val="2263FC5E"/>
    <w:rsid w:val="227E3626"/>
    <w:rsid w:val="228C2B8C"/>
    <w:rsid w:val="22BB7DFD"/>
    <w:rsid w:val="22D83436"/>
    <w:rsid w:val="230DA4BF"/>
    <w:rsid w:val="239AFA8C"/>
    <w:rsid w:val="23A009A4"/>
    <w:rsid w:val="23A00DA3"/>
    <w:rsid w:val="23E0DA53"/>
    <w:rsid w:val="2411C381"/>
    <w:rsid w:val="241B76A6"/>
    <w:rsid w:val="2420754F"/>
    <w:rsid w:val="24216714"/>
    <w:rsid w:val="242888A8"/>
    <w:rsid w:val="248289CE"/>
    <w:rsid w:val="24CBF2BE"/>
    <w:rsid w:val="251DB589"/>
    <w:rsid w:val="252DAF72"/>
    <w:rsid w:val="25787144"/>
    <w:rsid w:val="259638C4"/>
    <w:rsid w:val="259FF374"/>
    <w:rsid w:val="25CEEED2"/>
    <w:rsid w:val="25E0032A"/>
    <w:rsid w:val="2655898C"/>
    <w:rsid w:val="266D3269"/>
    <w:rsid w:val="268CC2CB"/>
    <w:rsid w:val="2696B542"/>
    <w:rsid w:val="26AB09C8"/>
    <w:rsid w:val="273A570F"/>
    <w:rsid w:val="274CA3F4"/>
    <w:rsid w:val="2760296A"/>
    <w:rsid w:val="27BDC1DF"/>
    <w:rsid w:val="27D9C09C"/>
    <w:rsid w:val="2828932C"/>
    <w:rsid w:val="28848876"/>
    <w:rsid w:val="289C471D"/>
    <w:rsid w:val="28EF66D6"/>
    <w:rsid w:val="28F3B2E3"/>
    <w:rsid w:val="29983D07"/>
    <w:rsid w:val="29BFCF3A"/>
    <w:rsid w:val="29CAD2EC"/>
    <w:rsid w:val="29CE5604"/>
    <w:rsid w:val="29E67993"/>
    <w:rsid w:val="2A2F1955"/>
    <w:rsid w:val="2A54DD1F"/>
    <w:rsid w:val="2A88F28B"/>
    <w:rsid w:val="2A9777F9"/>
    <w:rsid w:val="2AAE1B99"/>
    <w:rsid w:val="2AE5FAFB"/>
    <w:rsid w:val="2B6A2665"/>
    <w:rsid w:val="2BA59C73"/>
    <w:rsid w:val="2BDA38AA"/>
    <w:rsid w:val="2C001980"/>
    <w:rsid w:val="2C24C2EC"/>
    <w:rsid w:val="2C59FA7E"/>
    <w:rsid w:val="2C835DC0"/>
    <w:rsid w:val="2CF461E0"/>
    <w:rsid w:val="2D1E1A55"/>
    <w:rsid w:val="2D99F2C7"/>
    <w:rsid w:val="2DD0FF6D"/>
    <w:rsid w:val="2DE5BC5B"/>
    <w:rsid w:val="2DE8FF36"/>
    <w:rsid w:val="2DF1D7C6"/>
    <w:rsid w:val="2E053DE6"/>
    <w:rsid w:val="2E31599A"/>
    <w:rsid w:val="2E31CAF4"/>
    <w:rsid w:val="2E35646E"/>
    <w:rsid w:val="2E46F875"/>
    <w:rsid w:val="2EA1C727"/>
    <w:rsid w:val="2EB5C72A"/>
    <w:rsid w:val="2EFCFD33"/>
    <w:rsid w:val="2F1B65BB"/>
    <w:rsid w:val="2F442301"/>
    <w:rsid w:val="2F55FD3A"/>
    <w:rsid w:val="2F6C0741"/>
    <w:rsid w:val="2F818CBC"/>
    <w:rsid w:val="2F891051"/>
    <w:rsid w:val="30160246"/>
    <w:rsid w:val="30219FF1"/>
    <w:rsid w:val="303D9788"/>
    <w:rsid w:val="3095B40D"/>
    <w:rsid w:val="30D38AA3"/>
    <w:rsid w:val="3106113A"/>
    <w:rsid w:val="311CB36A"/>
    <w:rsid w:val="312DCDD3"/>
    <w:rsid w:val="3168FA5C"/>
    <w:rsid w:val="31CAE11F"/>
    <w:rsid w:val="31EBC91A"/>
    <w:rsid w:val="31F269BF"/>
    <w:rsid w:val="3236CD1F"/>
    <w:rsid w:val="32CC9F96"/>
    <w:rsid w:val="330E6C1A"/>
    <w:rsid w:val="334CD8E7"/>
    <w:rsid w:val="3383444A"/>
    <w:rsid w:val="338CE36B"/>
    <w:rsid w:val="33DF6553"/>
    <w:rsid w:val="33E7A228"/>
    <w:rsid w:val="3487D0F5"/>
    <w:rsid w:val="34A010EC"/>
    <w:rsid w:val="34F1470A"/>
    <w:rsid w:val="34FDB176"/>
    <w:rsid w:val="354E23B9"/>
    <w:rsid w:val="357562D8"/>
    <w:rsid w:val="361501A7"/>
    <w:rsid w:val="3625088C"/>
    <w:rsid w:val="363F4AF1"/>
    <w:rsid w:val="3650FC89"/>
    <w:rsid w:val="366BB563"/>
    <w:rsid w:val="36A33348"/>
    <w:rsid w:val="36A63FC8"/>
    <w:rsid w:val="36AD624D"/>
    <w:rsid w:val="36C4FC9B"/>
    <w:rsid w:val="36F10676"/>
    <w:rsid w:val="372430DA"/>
    <w:rsid w:val="37564689"/>
    <w:rsid w:val="3776CFCA"/>
    <w:rsid w:val="378E604E"/>
    <w:rsid w:val="37E21992"/>
    <w:rsid w:val="387E9A30"/>
    <w:rsid w:val="393006F2"/>
    <w:rsid w:val="39D5F304"/>
    <w:rsid w:val="39FC9D5D"/>
    <w:rsid w:val="3A4DF803"/>
    <w:rsid w:val="3A52D7CB"/>
    <w:rsid w:val="3A73F736"/>
    <w:rsid w:val="3A85FC56"/>
    <w:rsid w:val="3AD83CC1"/>
    <w:rsid w:val="3B05EC23"/>
    <w:rsid w:val="3B288DEB"/>
    <w:rsid w:val="3B3434F1"/>
    <w:rsid w:val="3BBFE104"/>
    <w:rsid w:val="3C338F58"/>
    <w:rsid w:val="3C557598"/>
    <w:rsid w:val="3C6F394B"/>
    <w:rsid w:val="3C9AE386"/>
    <w:rsid w:val="3CB6E850"/>
    <w:rsid w:val="3CB7CDB0"/>
    <w:rsid w:val="3D237085"/>
    <w:rsid w:val="3D42C6BC"/>
    <w:rsid w:val="3D77CD4C"/>
    <w:rsid w:val="3D98E54E"/>
    <w:rsid w:val="3D9A7666"/>
    <w:rsid w:val="3E48AFF6"/>
    <w:rsid w:val="3E6BC83E"/>
    <w:rsid w:val="3E77CD6E"/>
    <w:rsid w:val="3E982950"/>
    <w:rsid w:val="3EC0294E"/>
    <w:rsid w:val="3EE0E1C9"/>
    <w:rsid w:val="3F0C255E"/>
    <w:rsid w:val="3F1B0ED5"/>
    <w:rsid w:val="3F2217FA"/>
    <w:rsid w:val="3F5B299C"/>
    <w:rsid w:val="3F623258"/>
    <w:rsid w:val="3FB30E8A"/>
    <w:rsid w:val="3FF55599"/>
    <w:rsid w:val="401549DC"/>
    <w:rsid w:val="402878A2"/>
    <w:rsid w:val="40453488"/>
    <w:rsid w:val="405554C6"/>
    <w:rsid w:val="405A1033"/>
    <w:rsid w:val="405ADEA1"/>
    <w:rsid w:val="40A68D44"/>
    <w:rsid w:val="40D83832"/>
    <w:rsid w:val="40F2F60B"/>
    <w:rsid w:val="416E54A9"/>
    <w:rsid w:val="41951F74"/>
    <w:rsid w:val="41AB895B"/>
    <w:rsid w:val="41DB81A2"/>
    <w:rsid w:val="41E46EF1"/>
    <w:rsid w:val="41F9033F"/>
    <w:rsid w:val="42111B6D"/>
    <w:rsid w:val="42115F39"/>
    <w:rsid w:val="42218BFB"/>
    <w:rsid w:val="42620CE8"/>
    <w:rsid w:val="4278D454"/>
    <w:rsid w:val="42A9FBC2"/>
    <w:rsid w:val="42B0CA5A"/>
    <w:rsid w:val="42E46B6F"/>
    <w:rsid w:val="42FD3411"/>
    <w:rsid w:val="4311888D"/>
    <w:rsid w:val="438EC0AB"/>
    <w:rsid w:val="44191DC5"/>
    <w:rsid w:val="44288ABA"/>
    <w:rsid w:val="442FDDAD"/>
    <w:rsid w:val="445C4077"/>
    <w:rsid w:val="447C3EDD"/>
    <w:rsid w:val="44803BD0"/>
    <w:rsid w:val="44EF8006"/>
    <w:rsid w:val="450D24E9"/>
    <w:rsid w:val="4548C128"/>
    <w:rsid w:val="45514574"/>
    <w:rsid w:val="4561C0D3"/>
    <w:rsid w:val="456DEAEB"/>
    <w:rsid w:val="4583C49A"/>
    <w:rsid w:val="459067CF"/>
    <w:rsid w:val="45C62088"/>
    <w:rsid w:val="45CAEE16"/>
    <w:rsid w:val="45CBAE0E"/>
    <w:rsid w:val="46161B91"/>
    <w:rsid w:val="465A5C89"/>
    <w:rsid w:val="46A33B35"/>
    <w:rsid w:val="46A9D479"/>
    <w:rsid w:val="46AB28BB"/>
    <w:rsid w:val="46B32FDD"/>
    <w:rsid w:val="46E48C90"/>
    <w:rsid w:val="46FAECEF"/>
    <w:rsid w:val="4721D444"/>
    <w:rsid w:val="47B1EBF2"/>
    <w:rsid w:val="47FDB4C3"/>
    <w:rsid w:val="4807C475"/>
    <w:rsid w:val="48228486"/>
    <w:rsid w:val="48319AC9"/>
    <w:rsid w:val="484C34E9"/>
    <w:rsid w:val="4870ECE1"/>
    <w:rsid w:val="488DEF78"/>
    <w:rsid w:val="48CDCD26"/>
    <w:rsid w:val="48E87E9C"/>
    <w:rsid w:val="48F2AA12"/>
    <w:rsid w:val="48F2E542"/>
    <w:rsid w:val="494DBC53"/>
    <w:rsid w:val="4960ED30"/>
    <w:rsid w:val="4970E3CB"/>
    <w:rsid w:val="499CF43D"/>
    <w:rsid w:val="49D9C27F"/>
    <w:rsid w:val="49F998CA"/>
    <w:rsid w:val="4A192D62"/>
    <w:rsid w:val="4A1C2D52"/>
    <w:rsid w:val="4A971F67"/>
    <w:rsid w:val="4A9A2761"/>
    <w:rsid w:val="4AB3EA60"/>
    <w:rsid w:val="4AD3333D"/>
    <w:rsid w:val="4AED5BBD"/>
    <w:rsid w:val="4B026A86"/>
    <w:rsid w:val="4B116B96"/>
    <w:rsid w:val="4B2D12B8"/>
    <w:rsid w:val="4B7E99DE"/>
    <w:rsid w:val="4BC6C7C3"/>
    <w:rsid w:val="4BC8FB21"/>
    <w:rsid w:val="4BCF5EC5"/>
    <w:rsid w:val="4BF2F30F"/>
    <w:rsid w:val="4C10F41B"/>
    <w:rsid w:val="4C6F039E"/>
    <w:rsid w:val="4CB10750"/>
    <w:rsid w:val="4D1A6A3F"/>
    <w:rsid w:val="4D5312AE"/>
    <w:rsid w:val="4D631741"/>
    <w:rsid w:val="4DA22F3D"/>
    <w:rsid w:val="4DBDD941"/>
    <w:rsid w:val="4DC34E0C"/>
    <w:rsid w:val="4E0AD3FF"/>
    <w:rsid w:val="4E2FE3FB"/>
    <w:rsid w:val="4E7705F9"/>
    <w:rsid w:val="4EB03168"/>
    <w:rsid w:val="4F1F21B4"/>
    <w:rsid w:val="4F54A26F"/>
    <w:rsid w:val="4F5D4B36"/>
    <w:rsid w:val="4FA6A460"/>
    <w:rsid w:val="4FC8F322"/>
    <w:rsid w:val="4FCBB45C"/>
    <w:rsid w:val="4FE8A812"/>
    <w:rsid w:val="5031F55B"/>
    <w:rsid w:val="50520B01"/>
    <w:rsid w:val="506345D8"/>
    <w:rsid w:val="508343E7"/>
    <w:rsid w:val="510986C0"/>
    <w:rsid w:val="514274C1"/>
    <w:rsid w:val="516784BD"/>
    <w:rsid w:val="519D3D8C"/>
    <w:rsid w:val="51A65DE8"/>
    <w:rsid w:val="51AEA6BB"/>
    <w:rsid w:val="51C282FA"/>
    <w:rsid w:val="51EC4815"/>
    <w:rsid w:val="51EDDB62"/>
    <w:rsid w:val="51FAABED"/>
    <w:rsid w:val="52133694"/>
    <w:rsid w:val="5260C037"/>
    <w:rsid w:val="527F28BF"/>
    <w:rsid w:val="52B6F200"/>
    <w:rsid w:val="52D96028"/>
    <w:rsid w:val="52FC8C1F"/>
    <w:rsid w:val="5303551E"/>
    <w:rsid w:val="536A9060"/>
    <w:rsid w:val="539AE69A"/>
    <w:rsid w:val="53A329A0"/>
    <w:rsid w:val="53FAE36A"/>
    <w:rsid w:val="540BACE7"/>
    <w:rsid w:val="541593E6"/>
    <w:rsid w:val="547272BB"/>
    <w:rsid w:val="549F257F"/>
    <w:rsid w:val="54C55617"/>
    <w:rsid w:val="553EFA01"/>
    <w:rsid w:val="554D9E53"/>
    <w:rsid w:val="55A77D48"/>
    <w:rsid w:val="55D5FB30"/>
    <w:rsid w:val="55DA031D"/>
    <w:rsid w:val="5675F1FA"/>
    <w:rsid w:val="568217DE"/>
    <w:rsid w:val="5732842C"/>
    <w:rsid w:val="57701D24"/>
    <w:rsid w:val="5772AAE5"/>
    <w:rsid w:val="57D70E2D"/>
    <w:rsid w:val="580318C3"/>
    <w:rsid w:val="580BBDFC"/>
    <w:rsid w:val="58A77E29"/>
    <w:rsid w:val="58AAB526"/>
    <w:rsid w:val="58EC98CD"/>
    <w:rsid w:val="596BB7B8"/>
    <w:rsid w:val="596BCDA3"/>
    <w:rsid w:val="596E1B61"/>
    <w:rsid w:val="59891B7E"/>
    <w:rsid w:val="59964FAA"/>
    <w:rsid w:val="59C1A626"/>
    <w:rsid w:val="5A4249BC"/>
    <w:rsid w:val="5A59AF62"/>
    <w:rsid w:val="5A5B7219"/>
    <w:rsid w:val="5AF22352"/>
    <w:rsid w:val="5B68570A"/>
    <w:rsid w:val="5B72D921"/>
    <w:rsid w:val="5B99C252"/>
    <w:rsid w:val="5BF38540"/>
    <w:rsid w:val="5C302397"/>
    <w:rsid w:val="5C732248"/>
    <w:rsid w:val="5C7B6AF2"/>
    <w:rsid w:val="5CAE0858"/>
    <w:rsid w:val="5CBD82AD"/>
    <w:rsid w:val="5D2D79CA"/>
    <w:rsid w:val="5D37274D"/>
    <w:rsid w:val="5D5184BC"/>
    <w:rsid w:val="5E16432F"/>
    <w:rsid w:val="5E418C84"/>
    <w:rsid w:val="5E452F66"/>
    <w:rsid w:val="5E951749"/>
    <w:rsid w:val="5EDC6F3A"/>
    <w:rsid w:val="5F34B890"/>
    <w:rsid w:val="5F67C459"/>
    <w:rsid w:val="5FB515FA"/>
    <w:rsid w:val="5FDB0F27"/>
    <w:rsid w:val="6008B703"/>
    <w:rsid w:val="6030E7AA"/>
    <w:rsid w:val="60682ECB"/>
    <w:rsid w:val="6082FABD"/>
    <w:rsid w:val="6088352D"/>
    <w:rsid w:val="6092CE6D"/>
    <w:rsid w:val="60CC1363"/>
    <w:rsid w:val="60D96672"/>
    <w:rsid w:val="60FC89C0"/>
    <w:rsid w:val="61628B02"/>
    <w:rsid w:val="6176DF88"/>
    <w:rsid w:val="61B7A56F"/>
    <w:rsid w:val="61D5E982"/>
    <w:rsid w:val="61DBAD48"/>
    <w:rsid w:val="61DF55C0"/>
    <w:rsid w:val="6217CA0B"/>
    <w:rsid w:val="6227E0CD"/>
    <w:rsid w:val="62929D48"/>
    <w:rsid w:val="634A3510"/>
    <w:rsid w:val="636887CE"/>
    <w:rsid w:val="638E94B6"/>
    <w:rsid w:val="63C1EBDF"/>
    <w:rsid w:val="64110734"/>
    <w:rsid w:val="641B4394"/>
    <w:rsid w:val="6425D9E5"/>
    <w:rsid w:val="6479AE38"/>
    <w:rsid w:val="6503BED6"/>
    <w:rsid w:val="650458CD"/>
    <w:rsid w:val="65105141"/>
    <w:rsid w:val="65206828"/>
    <w:rsid w:val="655D81A8"/>
    <w:rsid w:val="6574397A"/>
    <w:rsid w:val="657947A6"/>
    <w:rsid w:val="65BC3D16"/>
    <w:rsid w:val="65E2A905"/>
    <w:rsid w:val="65E90F51"/>
    <w:rsid w:val="66983A7D"/>
    <w:rsid w:val="66B2C6E3"/>
    <w:rsid w:val="67020FF1"/>
    <w:rsid w:val="674C7CC7"/>
    <w:rsid w:val="674E4217"/>
    <w:rsid w:val="6750957C"/>
    <w:rsid w:val="6752F62A"/>
    <w:rsid w:val="67CB88C2"/>
    <w:rsid w:val="67E52094"/>
    <w:rsid w:val="68340C09"/>
    <w:rsid w:val="683BF98F"/>
    <w:rsid w:val="686300BE"/>
    <w:rsid w:val="6897E967"/>
    <w:rsid w:val="68F9C250"/>
    <w:rsid w:val="6953F512"/>
    <w:rsid w:val="696C9819"/>
    <w:rsid w:val="6988A25B"/>
    <w:rsid w:val="69D7C9F0"/>
    <w:rsid w:val="6A14CE72"/>
    <w:rsid w:val="6A914CD8"/>
    <w:rsid w:val="6AADED08"/>
    <w:rsid w:val="6B6C549E"/>
    <w:rsid w:val="6B94951E"/>
    <w:rsid w:val="6BDA1567"/>
    <w:rsid w:val="6BF424F7"/>
    <w:rsid w:val="6CC3CD73"/>
    <w:rsid w:val="6D0BD1E9"/>
    <w:rsid w:val="6D220867"/>
    <w:rsid w:val="6D36DB3E"/>
    <w:rsid w:val="6D48F4A9"/>
    <w:rsid w:val="6D63C43E"/>
    <w:rsid w:val="6D6B312E"/>
    <w:rsid w:val="6DBFD700"/>
    <w:rsid w:val="6E0312AF"/>
    <w:rsid w:val="6E0D2140"/>
    <w:rsid w:val="6E10A4A8"/>
    <w:rsid w:val="6E17AD64"/>
    <w:rsid w:val="6E1A399B"/>
    <w:rsid w:val="6E208AD7"/>
    <w:rsid w:val="6EAB3B13"/>
    <w:rsid w:val="6EB9D503"/>
    <w:rsid w:val="6EBDD8C8"/>
    <w:rsid w:val="6F1371A4"/>
    <w:rsid w:val="6F2FFD26"/>
    <w:rsid w:val="6F573E15"/>
    <w:rsid w:val="6F8BBAE5"/>
    <w:rsid w:val="6FC3B60E"/>
    <w:rsid w:val="6FCE5E1C"/>
    <w:rsid w:val="6FFB6E35"/>
    <w:rsid w:val="7005D543"/>
    <w:rsid w:val="700789A0"/>
    <w:rsid w:val="70470B74"/>
    <w:rsid w:val="707F4393"/>
    <w:rsid w:val="709B816A"/>
    <w:rsid w:val="70CBB296"/>
    <w:rsid w:val="70D310C6"/>
    <w:rsid w:val="70F777C2"/>
    <w:rsid w:val="7143DC09"/>
    <w:rsid w:val="7158ED2B"/>
    <w:rsid w:val="715F866F"/>
    <w:rsid w:val="7176F960"/>
    <w:rsid w:val="71FB2B82"/>
    <w:rsid w:val="720CEBB0"/>
    <w:rsid w:val="722A4AD0"/>
    <w:rsid w:val="72646A2F"/>
    <w:rsid w:val="72934823"/>
    <w:rsid w:val="7297B3A6"/>
    <w:rsid w:val="72A0AC09"/>
    <w:rsid w:val="72A40FC6"/>
    <w:rsid w:val="72B8B802"/>
    <w:rsid w:val="72B9A303"/>
    <w:rsid w:val="72F4BD8C"/>
    <w:rsid w:val="7317E3C4"/>
    <w:rsid w:val="737BCED6"/>
    <w:rsid w:val="737EAC36"/>
    <w:rsid w:val="73A437AA"/>
    <w:rsid w:val="73C7F731"/>
    <w:rsid w:val="73D5F166"/>
    <w:rsid w:val="73EE8D3A"/>
    <w:rsid w:val="73EF6A9A"/>
    <w:rsid w:val="740C7412"/>
    <w:rsid w:val="7464912F"/>
    <w:rsid w:val="74C01E09"/>
    <w:rsid w:val="753E113F"/>
    <w:rsid w:val="75604490"/>
    <w:rsid w:val="7569C20E"/>
    <w:rsid w:val="75A30DB3"/>
    <w:rsid w:val="75E48B33"/>
    <w:rsid w:val="762CB3CE"/>
    <w:rsid w:val="7658E4CB"/>
    <w:rsid w:val="766A0606"/>
    <w:rsid w:val="768EA417"/>
    <w:rsid w:val="769C6062"/>
    <w:rsid w:val="76A93E87"/>
    <w:rsid w:val="76FC3C1C"/>
    <w:rsid w:val="77000E24"/>
    <w:rsid w:val="7754BFDC"/>
    <w:rsid w:val="778DA774"/>
    <w:rsid w:val="779E33D6"/>
    <w:rsid w:val="77BC1BEA"/>
    <w:rsid w:val="784A86F9"/>
    <w:rsid w:val="784C2144"/>
    <w:rsid w:val="78775AEE"/>
    <w:rsid w:val="78C18618"/>
    <w:rsid w:val="78DD83C7"/>
    <w:rsid w:val="78E595F1"/>
    <w:rsid w:val="796A9854"/>
    <w:rsid w:val="796C51D8"/>
    <w:rsid w:val="79F3604D"/>
    <w:rsid w:val="7A145AFE"/>
    <w:rsid w:val="7A3E99A6"/>
    <w:rsid w:val="7A77FD7B"/>
    <w:rsid w:val="7A816652"/>
    <w:rsid w:val="7AFFCF71"/>
    <w:rsid w:val="7B07010C"/>
    <w:rsid w:val="7B4E949D"/>
    <w:rsid w:val="7B89BE1B"/>
    <w:rsid w:val="7BB7B343"/>
    <w:rsid w:val="7BC6EF75"/>
    <w:rsid w:val="7C3CF18D"/>
    <w:rsid w:val="7C4B1457"/>
    <w:rsid w:val="7C76F666"/>
    <w:rsid w:val="7CA2D16D"/>
    <w:rsid w:val="7CFC7C28"/>
    <w:rsid w:val="7D2B5256"/>
    <w:rsid w:val="7D3630CB"/>
    <w:rsid w:val="7D6902FA"/>
    <w:rsid w:val="7D87753F"/>
    <w:rsid w:val="7D8FB845"/>
    <w:rsid w:val="7DB245CD"/>
    <w:rsid w:val="7E5CB23C"/>
    <w:rsid w:val="7E9A3ACA"/>
    <w:rsid w:val="7E9AA576"/>
    <w:rsid w:val="7EB2B7A8"/>
    <w:rsid w:val="7F96A121"/>
    <w:rsid w:val="7FFA9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62C32"/>
  <w15:chartTrackingRefBased/>
  <w15:docId w15:val="{4525B618-F7F7-44CB-A5F2-5695FB22F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715B69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/>
      <w:b/>
      <w:bCs/>
      <w:sz w:val="36"/>
      <w:szCs w:val="36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2Char" w:customStyle="1">
    <w:name w:val="Heading 2 Char"/>
    <w:link w:val="Heading2"/>
    <w:uiPriority w:val="9"/>
    <w:rsid w:val="00715B69"/>
    <w:rPr>
      <w:rFonts w:ascii="Times New Roman" w:hAnsi="Times New Roman" w:eastAsia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715B6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en-GB"/>
    </w:rPr>
  </w:style>
  <w:style w:type="character" w:styleId="Strong">
    <w:name w:val="Strong"/>
    <w:uiPriority w:val="22"/>
    <w:qFormat/>
    <w:rsid w:val="00715B69"/>
    <w:rPr>
      <w:b/>
      <w:bCs/>
    </w:rPr>
  </w:style>
  <w:style w:type="character" w:styleId="Hyperlink">
    <w:name w:val="Hyperlink"/>
    <w:uiPriority w:val="99"/>
    <w:semiHidden/>
    <w:unhideWhenUsed/>
    <w:rsid w:val="00715B69"/>
    <w:rPr>
      <w:color w:val="0000FF"/>
      <w:u w:val="single"/>
    </w:rPr>
  </w:style>
  <w:style w:type="character" w:styleId="Emphasis">
    <w:name w:val="Emphasis"/>
    <w:uiPriority w:val="20"/>
    <w:qFormat/>
    <w:rsid w:val="00715B69"/>
    <w:rPr>
      <w:i/>
      <w:iCs/>
    </w:rPr>
  </w:style>
  <w:style w:type="character" w:styleId="iyjo4" w:customStyle="1">
    <w:name w:val="iyjo4"/>
    <w:rsid w:val="00715B69"/>
  </w:style>
  <w:style w:type="character" w:styleId="qtcg5" w:customStyle="1">
    <w:name w:val="qtcg5"/>
    <w:rsid w:val="00715B69"/>
  </w:style>
  <w:style w:type="character" w:styleId="qgajv" w:customStyle="1">
    <w:name w:val="qgajv"/>
    <w:rsid w:val="00715B69"/>
  </w:style>
  <w:style w:type="character" w:styleId="ms-button-flexcontainer" w:customStyle="1">
    <w:name w:val="ms-button-flexcontainer"/>
    <w:rsid w:val="00715B69"/>
  </w:style>
  <w:style w:type="paragraph" w:styleId="xmsonormal" w:customStyle="1">
    <w:name w:val="x_msonormal"/>
    <w:basedOn w:val="Normal"/>
    <w:rsid w:val="00715B6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en-GB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5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94917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6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5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2520183">
              <w:marLeft w:val="7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93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8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95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085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2085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98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7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362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62438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581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52529684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1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7936748">
          <w:marLeft w:val="0"/>
          <w:marRight w:val="0"/>
          <w:marTop w:val="2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2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4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63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526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62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999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742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1738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4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5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851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66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1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54421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6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85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97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38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833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62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016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0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27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rId3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Relationship Type="http://schemas.openxmlformats.org/officeDocument/2006/relationships/hyperlink" Target="mailto:checklist&#160;paediatrigguidelines@ggc.scot.nhs.uk" TargetMode="External" Id="Rc6fc7265bded4734" /><Relationship Type="http://schemas.openxmlformats.org/officeDocument/2006/relationships/hyperlink" Target="https://www.clinicalguidelines.scot.nhs.uk/nhsggc-guidelines/nhsggc-guidelines/author-guidance/" TargetMode="External" Id="Rf111ba232dcb4a4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F2C7C01829B14BA755309D5E279C90" ma:contentTypeVersion="12" ma:contentTypeDescription="Create a new document." ma:contentTypeScope="" ma:versionID="aef0b01a6c8ed4daf60dc8a03cd77bda">
  <xsd:schema xmlns:xsd="http://www.w3.org/2001/XMLSchema" xmlns:xs="http://www.w3.org/2001/XMLSchema" xmlns:p="http://schemas.microsoft.com/office/2006/metadata/properties" xmlns:ns3="811f619f-0ff2-4d4a-b6b5-28f48116f864" xmlns:ns4="48a3cf01-9924-4cd7-a6c7-23001d487023" targetNamespace="http://schemas.microsoft.com/office/2006/metadata/properties" ma:root="true" ma:fieldsID="134db720b0ac2cda92bcb4fb3c0b0a9d" ns3:_="" ns4:_="">
    <xsd:import namespace="811f619f-0ff2-4d4a-b6b5-28f48116f864"/>
    <xsd:import namespace="48a3cf01-9924-4cd7-a6c7-23001d48702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1f619f-0ff2-4d4a-b6b5-28f48116f8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a3cf01-9924-4cd7-a6c7-23001d48702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FD77E6-81DA-4C4C-AC74-DCD0D97F4F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85FC47-277F-46EE-91DB-3367937A67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1f619f-0ff2-4d4a-b6b5-28f48116f864"/>
    <ds:schemaRef ds:uri="48a3cf01-9924-4cd7-a6c7-23001d4870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NHS Greater Glasgow &amp; Clyde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Bell, Graham</dc:creator>
  <keywords/>
  <dc:description/>
  <lastModifiedBy>Graham Bell</lastModifiedBy>
  <revision>30</revision>
  <dcterms:created xsi:type="dcterms:W3CDTF">2022-09-30T11:43:00.0000000Z</dcterms:created>
  <dcterms:modified xsi:type="dcterms:W3CDTF">2025-02-20T15:09:21.3604070Z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0x0101009AF2C7C01829B14BA755309D5E279C90</vt:lpwstr>
  </property>
</Properties>
</file>